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C2B49" w14:textId="4EB587E1" w:rsidR="00AF2473" w:rsidRPr="0035423E" w:rsidRDefault="00B075A2" w:rsidP="00AF2473">
      <w:pPr>
        <w:jc w:val="center"/>
        <w:rPr>
          <w:b/>
          <w:sz w:val="64"/>
          <w:szCs w:val="64"/>
        </w:rPr>
      </w:pPr>
      <w:r>
        <w:rPr>
          <w:b/>
          <w:sz w:val="56"/>
          <w:szCs w:val="56"/>
          <w:lang w:val="en-US"/>
        </w:rPr>
        <w:t>PETRORAT</w:t>
      </w:r>
      <w:r w:rsidRPr="00B03F13">
        <w:rPr>
          <w:b/>
          <w:sz w:val="56"/>
          <w:szCs w:val="56"/>
        </w:rPr>
        <w:t xml:space="preserve">  </w:t>
      </w:r>
      <w:r w:rsidR="00B03F13">
        <w:rPr>
          <w:b/>
          <w:sz w:val="56"/>
          <w:szCs w:val="56"/>
          <w:lang w:val="en-US"/>
        </w:rPr>
        <w:t>BRODI</w:t>
      </w:r>
      <w:r w:rsidR="00B03F13" w:rsidRPr="00B03F13">
        <w:rPr>
          <w:b/>
          <w:sz w:val="56"/>
          <w:szCs w:val="56"/>
        </w:rPr>
        <w:t xml:space="preserve">-3 </w:t>
      </w:r>
      <w:r w:rsidR="00B03F13">
        <w:rPr>
          <w:b/>
          <w:sz w:val="56"/>
          <w:szCs w:val="56"/>
          <w:lang w:val="en-US"/>
        </w:rPr>
        <w:t>PELLET</w:t>
      </w:r>
    </w:p>
    <w:p w14:paraId="64B83EE8" w14:textId="77777777" w:rsidR="007219C6" w:rsidRPr="0035423E" w:rsidRDefault="007219C6" w:rsidP="007219C6">
      <w:pPr>
        <w:rPr>
          <w:sz w:val="28"/>
          <w:szCs w:val="28"/>
        </w:rPr>
      </w:pPr>
    </w:p>
    <w:p w14:paraId="3E338680" w14:textId="77777777" w:rsidR="00F43BDE" w:rsidRDefault="00F43BDE" w:rsidP="00F43BDE">
      <w:pPr>
        <w:jc w:val="center"/>
        <w:rPr>
          <w:b/>
        </w:rPr>
      </w:pPr>
      <w:r>
        <w:rPr>
          <w:b/>
        </w:rPr>
        <w:t xml:space="preserve">Ετοιμόχρηστο </w:t>
      </w:r>
      <w:r w:rsidRPr="00353E06">
        <w:rPr>
          <w:b/>
        </w:rPr>
        <w:t>ΤΡΩΚΤΙΚΟΚΤΟΝΟ</w:t>
      </w:r>
      <w:r w:rsidRPr="00114F5C">
        <w:rPr>
          <w:b/>
        </w:rPr>
        <w:t xml:space="preserve"> (</w:t>
      </w:r>
      <w:r w:rsidRPr="00353E06">
        <w:rPr>
          <w:b/>
          <w:lang w:val="en-US"/>
        </w:rPr>
        <w:t>BIOKTONO</w:t>
      </w:r>
      <w:r w:rsidRPr="00114F5C">
        <w:rPr>
          <w:b/>
        </w:rPr>
        <w:t>)</w:t>
      </w:r>
      <w:r>
        <w:rPr>
          <w:b/>
        </w:rPr>
        <w:t xml:space="preserve"> δόλωμα </w:t>
      </w:r>
      <w:bookmarkStart w:id="0" w:name="_Hlk130715775"/>
      <w:r>
        <w:rPr>
          <w:b/>
        </w:rPr>
        <w:t>σε κουφέτο-</w:t>
      </w:r>
      <w:r>
        <w:rPr>
          <w:b/>
          <w:lang w:val="en-US"/>
        </w:rPr>
        <w:t>pellet</w:t>
      </w:r>
      <w:r>
        <w:rPr>
          <w:b/>
        </w:rPr>
        <w:t xml:space="preserve"> </w:t>
      </w:r>
      <w:r w:rsidRPr="00353E06">
        <w:rPr>
          <w:b/>
        </w:rPr>
        <w:t>(</w:t>
      </w:r>
      <w:r>
        <w:rPr>
          <w:b/>
          <w:lang w:val="en-US"/>
        </w:rPr>
        <w:t>R</w:t>
      </w:r>
      <w:r w:rsidRPr="00353E06">
        <w:rPr>
          <w:b/>
          <w:lang w:val="en-US"/>
        </w:rPr>
        <w:t>B</w:t>
      </w:r>
      <w:r w:rsidRPr="00353E06">
        <w:rPr>
          <w:b/>
        </w:rPr>
        <w:t>)</w:t>
      </w:r>
      <w:r>
        <w:rPr>
          <w:b/>
        </w:rPr>
        <w:t xml:space="preserve"> </w:t>
      </w:r>
      <w:bookmarkEnd w:id="0"/>
      <w:r w:rsidRPr="00353E06">
        <w:rPr>
          <w:b/>
        </w:rPr>
        <w:t>που χρησιμοποιείται για την καταπολέμηση</w:t>
      </w:r>
      <w:r>
        <w:rPr>
          <w:b/>
        </w:rPr>
        <w:t xml:space="preserve"> </w:t>
      </w:r>
      <w:r w:rsidRPr="00353E06">
        <w:rPr>
          <w:b/>
        </w:rPr>
        <w:t xml:space="preserve">των </w:t>
      </w:r>
      <w:r>
        <w:rPr>
          <w:b/>
        </w:rPr>
        <w:t xml:space="preserve">οικιακών </w:t>
      </w:r>
      <w:r w:rsidRPr="00353E06">
        <w:rPr>
          <w:b/>
        </w:rPr>
        <w:t xml:space="preserve">ποντικών </w:t>
      </w:r>
      <w:r>
        <w:rPr>
          <w:b/>
        </w:rPr>
        <w:t xml:space="preserve">σε εσωτερικούς χώρους </w:t>
      </w:r>
      <w:r w:rsidRPr="00353E06">
        <w:rPr>
          <w:b/>
        </w:rPr>
        <w:t xml:space="preserve">και των </w:t>
      </w:r>
      <w:r>
        <w:rPr>
          <w:b/>
        </w:rPr>
        <w:t xml:space="preserve">καφέ </w:t>
      </w:r>
      <w:r w:rsidRPr="00353E06">
        <w:rPr>
          <w:b/>
        </w:rPr>
        <w:t xml:space="preserve">αρουραίων </w:t>
      </w:r>
      <w:r>
        <w:rPr>
          <w:b/>
        </w:rPr>
        <w:t>σε εσωτερικούς χώρους και εξωτερικούς χώρους περιμετρικά των κτιρίων</w:t>
      </w:r>
      <w:r w:rsidRPr="00353E06">
        <w:rPr>
          <w:b/>
        </w:rPr>
        <w:t>.</w:t>
      </w:r>
    </w:p>
    <w:p w14:paraId="698867B3" w14:textId="77777777" w:rsidR="007219C6" w:rsidRDefault="007219C6" w:rsidP="007219C6">
      <w:pPr>
        <w:jc w:val="center"/>
      </w:pPr>
    </w:p>
    <w:p w14:paraId="30FF237B" w14:textId="0113E1CB" w:rsidR="007219C6" w:rsidRPr="001034CF" w:rsidRDefault="007219C6" w:rsidP="007219C6">
      <w:pPr>
        <w:jc w:val="center"/>
        <w:rPr>
          <w:b/>
        </w:rPr>
      </w:pPr>
      <w:r>
        <w:rPr>
          <w:b/>
        </w:rPr>
        <w:t>ΠΡΟΟΡΙΖΕΤΑΙ ΓΙΑ</w:t>
      </w:r>
      <w:r w:rsidR="00347325">
        <w:rPr>
          <w:b/>
        </w:rPr>
        <w:t xml:space="preserve"> ΤΟ </w:t>
      </w:r>
      <w:r w:rsidR="00347325">
        <w:rPr>
          <w:b/>
          <w:u w:val="single"/>
        </w:rPr>
        <w:t>ΕΥΡΥ ΚΟΙΝΟ</w:t>
      </w:r>
    </w:p>
    <w:p w14:paraId="4700FD46" w14:textId="77777777" w:rsidR="007219C6" w:rsidRDefault="007219C6" w:rsidP="007219C6">
      <w:pPr>
        <w:jc w:val="center"/>
      </w:pPr>
    </w:p>
    <w:tbl>
      <w:tblPr>
        <w:tblStyle w:val="a4"/>
        <w:tblW w:w="0" w:type="auto"/>
        <w:tblLook w:val="04A0" w:firstRow="1" w:lastRow="0" w:firstColumn="1" w:lastColumn="0" w:noHBand="0" w:noVBand="1"/>
      </w:tblPr>
      <w:tblGrid>
        <w:gridCol w:w="5807"/>
        <w:gridCol w:w="3003"/>
      </w:tblGrid>
      <w:tr w:rsidR="004A635E" w14:paraId="10612208" w14:textId="77777777" w:rsidTr="004A635E">
        <w:tc>
          <w:tcPr>
            <w:tcW w:w="5807" w:type="dxa"/>
            <w:tcBorders>
              <w:bottom w:val="nil"/>
              <w:right w:val="nil"/>
            </w:tcBorders>
          </w:tcPr>
          <w:p w14:paraId="12157976" w14:textId="19314691" w:rsidR="00AF2473" w:rsidRPr="00AB7312" w:rsidRDefault="00B075A2" w:rsidP="00AF2473">
            <w:pPr>
              <w:rPr>
                <w:b/>
                <w:sz w:val="22"/>
                <w:szCs w:val="22"/>
                <w:u w:val="single"/>
              </w:rPr>
            </w:pPr>
            <w:r>
              <w:rPr>
                <w:b/>
                <w:sz w:val="22"/>
                <w:szCs w:val="22"/>
                <w:u w:val="single"/>
                <w:lang w:val="en-US"/>
              </w:rPr>
              <w:t>PETRORAT</w:t>
            </w:r>
            <w:r w:rsidR="00AF2473" w:rsidRPr="00122158">
              <w:rPr>
                <w:b/>
                <w:sz w:val="22"/>
                <w:szCs w:val="22"/>
                <w:u w:val="single"/>
              </w:rPr>
              <w:t xml:space="preserve"> </w:t>
            </w:r>
            <w:r w:rsidR="00B03F13">
              <w:rPr>
                <w:b/>
                <w:sz w:val="22"/>
                <w:szCs w:val="22"/>
                <w:u w:val="single"/>
                <w:lang w:val="en-US"/>
              </w:rPr>
              <w:t>BRODI</w:t>
            </w:r>
            <w:r w:rsidR="00B03F13" w:rsidRPr="00B03F13">
              <w:rPr>
                <w:b/>
                <w:sz w:val="22"/>
                <w:szCs w:val="22"/>
                <w:u w:val="single"/>
              </w:rPr>
              <w:t xml:space="preserve">-3 </w:t>
            </w:r>
            <w:r w:rsidR="00B03F13">
              <w:rPr>
                <w:b/>
                <w:sz w:val="22"/>
                <w:szCs w:val="22"/>
                <w:u w:val="single"/>
                <w:lang w:val="en-US"/>
              </w:rPr>
              <w:t>PELLET</w:t>
            </w:r>
          </w:p>
          <w:p w14:paraId="28FCB25E" w14:textId="124935C1" w:rsidR="00185E99" w:rsidRPr="008C1CF9" w:rsidRDefault="008C1CF9" w:rsidP="00185E99">
            <w:pPr>
              <w:rPr>
                <w:b/>
                <w:sz w:val="20"/>
                <w:szCs w:val="20"/>
              </w:rPr>
            </w:pPr>
            <w:r w:rsidRPr="00AB7312">
              <w:rPr>
                <w:b/>
                <w:sz w:val="20"/>
                <w:szCs w:val="20"/>
              </w:rPr>
              <w:t xml:space="preserve">Ετοιμόχρηστο τρωκτικοκτόνο δόλωμα σε </w:t>
            </w:r>
            <w:r w:rsidR="00B03F13" w:rsidRPr="00AB7312">
              <w:rPr>
                <w:b/>
                <w:sz w:val="20"/>
                <w:szCs w:val="20"/>
              </w:rPr>
              <w:t xml:space="preserve">σε </w:t>
            </w:r>
            <w:r w:rsidR="00B03F13">
              <w:rPr>
                <w:b/>
                <w:sz w:val="20"/>
                <w:szCs w:val="20"/>
              </w:rPr>
              <w:t>κουφέτο</w:t>
            </w:r>
            <w:r w:rsidR="00B03F13" w:rsidRPr="00055C9E">
              <w:rPr>
                <w:b/>
                <w:sz w:val="20"/>
                <w:szCs w:val="20"/>
              </w:rPr>
              <w:t>-</w:t>
            </w:r>
            <w:r w:rsidR="00B03F13">
              <w:rPr>
                <w:b/>
                <w:sz w:val="20"/>
                <w:szCs w:val="20"/>
                <w:lang w:val="en-US"/>
              </w:rPr>
              <w:t>pellet</w:t>
            </w:r>
            <w:r w:rsidR="00B03F13" w:rsidRPr="00AB7312">
              <w:rPr>
                <w:b/>
                <w:sz w:val="20"/>
                <w:szCs w:val="20"/>
              </w:rPr>
              <w:t xml:space="preserve"> </w:t>
            </w:r>
            <w:r w:rsidR="00B03F13" w:rsidRPr="00B03F13">
              <w:rPr>
                <w:b/>
                <w:sz w:val="20"/>
                <w:szCs w:val="20"/>
              </w:rPr>
              <w:t>(</w:t>
            </w:r>
            <w:r w:rsidR="00B03F13">
              <w:rPr>
                <w:b/>
                <w:sz w:val="20"/>
                <w:szCs w:val="20"/>
                <w:lang w:val="en-US"/>
              </w:rPr>
              <w:t>RB</w:t>
            </w:r>
            <w:r w:rsidR="00B03F13" w:rsidRPr="00B03F13">
              <w:rPr>
                <w:b/>
                <w:sz w:val="20"/>
                <w:szCs w:val="20"/>
              </w:rPr>
              <w:t xml:space="preserve">) </w:t>
            </w:r>
            <w:r w:rsidR="00185E99" w:rsidRPr="00AB7312">
              <w:rPr>
                <w:b/>
                <w:sz w:val="20"/>
                <w:szCs w:val="20"/>
              </w:rPr>
              <w:t>(</w:t>
            </w:r>
            <w:r w:rsidRPr="00AB7312">
              <w:rPr>
                <w:b/>
                <w:sz w:val="20"/>
                <w:szCs w:val="20"/>
              </w:rPr>
              <w:t>τύπος προϊόντος</w:t>
            </w:r>
            <w:r w:rsidR="00185E99" w:rsidRPr="00AB7312">
              <w:rPr>
                <w:b/>
                <w:sz w:val="20"/>
                <w:szCs w:val="20"/>
              </w:rPr>
              <w:t xml:space="preserve"> 14)</w:t>
            </w:r>
          </w:p>
          <w:p w14:paraId="6AF1FA4E" w14:textId="77777777" w:rsidR="00B03F13" w:rsidRPr="008C1CF9" w:rsidRDefault="00B03F13" w:rsidP="00B03F13">
            <w:pPr>
              <w:rPr>
                <w:sz w:val="22"/>
                <w:szCs w:val="22"/>
                <w:u w:val="single"/>
              </w:rPr>
            </w:pPr>
            <w:r w:rsidRPr="008C1CF9">
              <w:rPr>
                <w:b/>
                <w:sz w:val="22"/>
                <w:szCs w:val="22"/>
                <w:u w:val="single"/>
              </w:rPr>
              <w:t>Εγγυημένη σύνθεση</w:t>
            </w:r>
          </w:p>
          <w:p w14:paraId="601C6850" w14:textId="77777777" w:rsidR="00B03F13" w:rsidRPr="008C1CF9" w:rsidRDefault="00B03F13" w:rsidP="00B03F13">
            <w:pPr>
              <w:rPr>
                <w:sz w:val="22"/>
                <w:szCs w:val="22"/>
              </w:rPr>
            </w:pPr>
            <w:r>
              <w:rPr>
                <w:sz w:val="22"/>
                <w:szCs w:val="22"/>
              </w:rPr>
              <w:t>Βρωδιφακούμη (</w:t>
            </w:r>
            <w:r>
              <w:rPr>
                <w:sz w:val="22"/>
                <w:szCs w:val="22"/>
                <w:lang w:val="en-US"/>
              </w:rPr>
              <w:t>Brodifacoum</w:t>
            </w:r>
            <w:r>
              <w:rPr>
                <w:sz w:val="22"/>
                <w:szCs w:val="22"/>
              </w:rPr>
              <w:t>)</w:t>
            </w:r>
            <w:r w:rsidRPr="008C1CF9">
              <w:rPr>
                <w:sz w:val="22"/>
                <w:szCs w:val="22"/>
              </w:rPr>
              <w:t xml:space="preserve"> 0,00</w:t>
            </w:r>
            <w:r w:rsidRPr="00347325">
              <w:rPr>
                <w:sz w:val="22"/>
                <w:szCs w:val="22"/>
              </w:rPr>
              <w:t>2</w:t>
            </w:r>
            <w:r>
              <w:rPr>
                <w:sz w:val="22"/>
                <w:szCs w:val="22"/>
              </w:rPr>
              <w:t>5</w:t>
            </w:r>
            <w:r w:rsidRPr="008C1CF9">
              <w:rPr>
                <w:sz w:val="22"/>
                <w:szCs w:val="22"/>
              </w:rPr>
              <w:t>% β/β                                               Βοηθητικές ουσίες 99,9</w:t>
            </w:r>
            <w:r w:rsidRPr="00A44C4F">
              <w:rPr>
                <w:sz w:val="22"/>
                <w:szCs w:val="22"/>
              </w:rPr>
              <w:t>9</w:t>
            </w:r>
            <w:r w:rsidRPr="00347325">
              <w:rPr>
                <w:sz w:val="22"/>
                <w:szCs w:val="22"/>
              </w:rPr>
              <w:t>7</w:t>
            </w:r>
            <w:r>
              <w:rPr>
                <w:sz w:val="22"/>
                <w:szCs w:val="22"/>
              </w:rPr>
              <w:t>5</w:t>
            </w:r>
            <w:r w:rsidRPr="008C1CF9">
              <w:rPr>
                <w:sz w:val="22"/>
                <w:szCs w:val="22"/>
              </w:rPr>
              <w:t>% β/β</w:t>
            </w:r>
          </w:p>
          <w:p w14:paraId="6AC3E5C9" w14:textId="64647B58" w:rsidR="004A635E" w:rsidRPr="008C1CF9" w:rsidRDefault="00B03F13" w:rsidP="00AC7480">
            <w:pPr>
              <w:rPr>
                <w:sz w:val="22"/>
                <w:szCs w:val="22"/>
              </w:rPr>
            </w:pPr>
            <w:r w:rsidRPr="008C1CF9">
              <w:rPr>
                <w:sz w:val="22"/>
                <w:szCs w:val="22"/>
              </w:rPr>
              <w:t>Περιέχει πικραντικό παράγοντα</w:t>
            </w:r>
            <w:r>
              <w:rPr>
                <w:sz w:val="22"/>
                <w:szCs w:val="22"/>
              </w:rPr>
              <w:t>.</w:t>
            </w:r>
          </w:p>
          <w:p w14:paraId="78534CEC" w14:textId="77777777" w:rsidR="004A635E" w:rsidRPr="008C1CF9" w:rsidRDefault="004A635E" w:rsidP="00AC7480">
            <w:pPr>
              <w:rPr>
                <w:sz w:val="8"/>
                <w:szCs w:val="8"/>
              </w:rPr>
            </w:pPr>
          </w:p>
          <w:p w14:paraId="2EBAF212" w14:textId="77777777" w:rsidR="004A635E" w:rsidRPr="008C1CF9" w:rsidRDefault="004A635E" w:rsidP="00AC7480">
            <w:pPr>
              <w:rPr>
                <w:sz w:val="22"/>
                <w:szCs w:val="22"/>
              </w:rPr>
            </w:pPr>
            <w:r w:rsidRPr="008C1CF9">
              <w:rPr>
                <w:b/>
                <w:sz w:val="22"/>
                <w:szCs w:val="22"/>
                <w:u w:val="single"/>
              </w:rPr>
              <w:t>Δηλώσεις επικινδυνότητας</w:t>
            </w:r>
          </w:p>
          <w:p w14:paraId="005D4B8A" w14:textId="583EE6D6" w:rsidR="004A635E" w:rsidRDefault="004A635E" w:rsidP="00AC7480">
            <w:pPr>
              <w:jc w:val="both"/>
              <w:rPr>
                <w:bCs/>
                <w:sz w:val="22"/>
                <w:szCs w:val="22"/>
              </w:rPr>
            </w:pPr>
            <w:r w:rsidRPr="008C1CF9">
              <w:rPr>
                <w:b/>
                <w:bCs/>
                <w:sz w:val="22"/>
                <w:szCs w:val="22"/>
                <w:lang w:val="en-US"/>
              </w:rPr>
              <w:t>H</w:t>
            </w:r>
            <w:r w:rsidRPr="008C1CF9">
              <w:rPr>
                <w:b/>
                <w:bCs/>
                <w:sz w:val="22"/>
                <w:szCs w:val="22"/>
              </w:rPr>
              <w:t>37</w:t>
            </w:r>
            <w:r w:rsidR="00347325">
              <w:rPr>
                <w:b/>
                <w:bCs/>
                <w:sz w:val="22"/>
                <w:szCs w:val="22"/>
              </w:rPr>
              <w:t>3</w:t>
            </w:r>
            <w:r w:rsidRPr="008C1CF9">
              <w:rPr>
                <w:b/>
                <w:bCs/>
                <w:sz w:val="22"/>
                <w:szCs w:val="22"/>
              </w:rPr>
              <w:t xml:space="preserve">: </w:t>
            </w:r>
            <w:r w:rsidR="00347325">
              <w:rPr>
                <w:b/>
                <w:bCs/>
                <w:sz w:val="22"/>
                <w:szCs w:val="22"/>
              </w:rPr>
              <w:t>Μπορεί να προκαλέσει</w:t>
            </w:r>
            <w:r w:rsidRPr="008C1CF9">
              <w:rPr>
                <w:b/>
                <w:bCs/>
                <w:sz w:val="22"/>
                <w:szCs w:val="22"/>
              </w:rPr>
              <w:t xml:space="preserve"> </w:t>
            </w:r>
            <w:r w:rsidRPr="008C1CF9">
              <w:rPr>
                <w:b/>
                <w:sz w:val="22"/>
                <w:szCs w:val="22"/>
                <w:lang w:eastAsia="fi-FI"/>
              </w:rPr>
              <w:t>βλάβες στα όργανα (αίμα) ύστερα από παρατεταμένη ή επανειλημμένη έκθεση</w:t>
            </w:r>
            <w:r w:rsidRPr="008C1CF9">
              <w:rPr>
                <w:b/>
                <w:bCs/>
                <w:sz w:val="22"/>
                <w:szCs w:val="22"/>
              </w:rPr>
              <w:t>.</w:t>
            </w:r>
            <w:r w:rsidRPr="008C1CF9">
              <w:rPr>
                <w:bCs/>
                <w:sz w:val="22"/>
                <w:szCs w:val="22"/>
              </w:rPr>
              <w:t xml:space="preserve"> </w:t>
            </w:r>
          </w:p>
          <w:p w14:paraId="6CD379BF" w14:textId="77777777" w:rsidR="00B03F13" w:rsidRPr="008C1CF9" w:rsidRDefault="00B03F13" w:rsidP="00B03F13">
            <w:pPr>
              <w:rPr>
                <w:bCs/>
                <w:sz w:val="22"/>
                <w:szCs w:val="22"/>
              </w:rPr>
            </w:pPr>
            <w:r w:rsidRPr="008C1CF9">
              <w:rPr>
                <w:b/>
                <w:sz w:val="22"/>
                <w:szCs w:val="22"/>
                <w:u w:val="single"/>
              </w:rPr>
              <w:t>Δηλώσεις προφύλαξης</w:t>
            </w:r>
          </w:p>
          <w:p w14:paraId="062A364D" w14:textId="7DEDA32C" w:rsidR="004A635E" w:rsidRPr="00B03F13" w:rsidRDefault="00B03F13" w:rsidP="00EF3EDF">
            <w:pPr>
              <w:autoSpaceDE w:val="0"/>
              <w:autoSpaceDN w:val="0"/>
              <w:adjustRightInd w:val="0"/>
              <w:rPr>
                <w:spacing w:val="-1"/>
                <w:sz w:val="22"/>
                <w:szCs w:val="22"/>
              </w:rPr>
            </w:pPr>
            <w:r>
              <w:rPr>
                <w:sz w:val="22"/>
                <w:szCs w:val="22"/>
                <w:lang w:eastAsia="el-GR"/>
              </w:rPr>
              <w:t xml:space="preserve">Ρ102: Μακριά από παιδιά. </w:t>
            </w:r>
            <w:r w:rsidRPr="008C1CF9">
              <w:rPr>
                <w:bCs/>
                <w:sz w:val="22"/>
                <w:szCs w:val="22"/>
              </w:rPr>
              <w:t>P3</w:t>
            </w:r>
            <w:r>
              <w:rPr>
                <w:bCs/>
                <w:sz w:val="22"/>
                <w:szCs w:val="22"/>
              </w:rPr>
              <w:t>08+Ρ313</w:t>
            </w:r>
            <w:r w:rsidRPr="008C1CF9">
              <w:rPr>
                <w:bCs/>
                <w:sz w:val="22"/>
                <w:szCs w:val="22"/>
              </w:rPr>
              <w:t>:</w:t>
            </w:r>
            <w:r w:rsidRPr="008C1CF9">
              <w:rPr>
                <w:b/>
                <w:bCs/>
                <w:sz w:val="22"/>
                <w:szCs w:val="22"/>
              </w:rPr>
              <w:t xml:space="preserve"> </w:t>
            </w:r>
            <w:r w:rsidRPr="00055C9E">
              <w:rPr>
                <w:sz w:val="22"/>
                <w:szCs w:val="22"/>
              </w:rPr>
              <w:t>ΣΕ ΠΕΡΙΠΤΩΣΗ έκθεσης ή πιθανής έκθεσης: Συμβουλευθείτε/Επισκεφθείτε γιατρό.</w:t>
            </w:r>
            <w:r w:rsidRPr="008C1CF9">
              <w:rPr>
                <w:color w:val="111111"/>
                <w:w w:val="105"/>
                <w:sz w:val="22"/>
                <w:szCs w:val="22"/>
              </w:rPr>
              <w:t xml:space="preserve"> </w:t>
            </w:r>
            <w:r w:rsidRPr="008C1CF9">
              <w:rPr>
                <w:bCs/>
                <w:sz w:val="22"/>
                <w:szCs w:val="22"/>
              </w:rPr>
              <w:t xml:space="preserve">P501: </w:t>
            </w:r>
            <w:r w:rsidRPr="00055C9E">
              <w:rPr>
                <w:sz w:val="22"/>
                <w:szCs w:val="22"/>
              </w:rPr>
              <w:t>Διάθεση του περιεχομένου/περιέκτη καθώς και νεκρά τρωκτικά, μέσω εξουσιοδοτημένου διαχειριστή επικίνδυνων αποβλήτων, σύμφωνα με τους ισχύοντες κανονισμούς</w:t>
            </w:r>
            <w:r w:rsidRPr="00055C9E">
              <w:rPr>
                <w:spacing w:val="-1"/>
                <w:sz w:val="22"/>
                <w:szCs w:val="22"/>
              </w:rPr>
              <w:t>.</w:t>
            </w:r>
          </w:p>
        </w:tc>
        <w:tc>
          <w:tcPr>
            <w:tcW w:w="3003" w:type="dxa"/>
            <w:tcBorders>
              <w:left w:val="nil"/>
              <w:bottom w:val="nil"/>
            </w:tcBorders>
          </w:tcPr>
          <w:p w14:paraId="1C71E420" w14:textId="77777777" w:rsidR="004A635E" w:rsidRDefault="004A635E" w:rsidP="00AC7480">
            <w:pPr>
              <w:jc w:val="center"/>
              <w:rPr>
                <w:b/>
                <w:sz w:val="22"/>
              </w:rPr>
            </w:pPr>
            <w:r>
              <w:rPr>
                <w:rFonts w:ascii="Arial" w:eastAsia="Arial" w:hAnsi="Arial" w:cs="Arial"/>
                <w:noProof/>
                <w:color w:val="FF0000"/>
                <w:lang w:eastAsia="el-GR"/>
              </w:rPr>
              <w:drawing>
                <wp:inline distT="0" distB="0" distL="0" distR="0" wp14:anchorId="5593B859" wp14:editId="1F141523">
                  <wp:extent cx="1638300" cy="163830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inline>
              </w:drawing>
            </w:r>
          </w:p>
          <w:p w14:paraId="5849557B" w14:textId="050E31DF" w:rsidR="004A635E" w:rsidRPr="007219C6" w:rsidRDefault="00347325" w:rsidP="00AC7480">
            <w:pPr>
              <w:jc w:val="center"/>
              <w:rPr>
                <w:b/>
                <w:sz w:val="28"/>
                <w:szCs w:val="28"/>
              </w:rPr>
            </w:pPr>
            <w:r>
              <w:rPr>
                <w:b/>
                <w:sz w:val="28"/>
                <w:szCs w:val="28"/>
              </w:rPr>
              <w:t>ΠΡΟΣΟΧΗ</w:t>
            </w:r>
          </w:p>
        </w:tc>
      </w:tr>
      <w:tr w:rsidR="004A635E" w:rsidRPr="00F43BDE" w14:paraId="131A010C" w14:textId="77777777" w:rsidTr="00347325">
        <w:trPr>
          <w:trHeight w:val="1185"/>
        </w:trPr>
        <w:tc>
          <w:tcPr>
            <w:tcW w:w="8810" w:type="dxa"/>
            <w:gridSpan w:val="2"/>
            <w:tcBorders>
              <w:top w:val="nil"/>
            </w:tcBorders>
          </w:tcPr>
          <w:p w14:paraId="79635848" w14:textId="5339CB67" w:rsidR="004A635E" w:rsidRPr="00F43BDE" w:rsidRDefault="00B03F13" w:rsidP="004A635E">
            <w:pPr>
              <w:rPr>
                <w:b/>
                <w:bCs/>
                <w:sz w:val="22"/>
                <w:szCs w:val="22"/>
                <w:shd w:val="clear" w:color="auto" w:fill="FFFFFF"/>
              </w:rPr>
            </w:pPr>
            <w:r w:rsidRPr="00131F7F">
              <w:rPr>
                <w:b/>
                <w:bCs/>
                <w:sz w:val="22"/>
                <w:szCs w:val="22"/>
                <w:lang w:val="en-US"/>
              </w:rPr>
              <w:t>UFI</w:t>
            </w:r>
            <w:r w:rsidRPr="00F43BDE">
              <w:rPr>
                <w:b/>
                <w:bCs/>
                <w:sz w:val="22"/>
                <w:szCs w:val="22"/>
              </w:rPr>
              <w:t xml:space="preserve">: </w:t>
            </w:r>
            <w:r w:rsidRPr="00955C32">
              <w:rPr>
                <w:b/>
                <w:bCs/>
                <w:sz w:val="22"/>
                <w:szCs w:val="22"/>
                <w:shd w:val="clear" w:color="auto" w:fill="FFFFFF"/>
                <w:lang w:val="en-US"/>
              </w:rPr>
              <w:t>YTWC</w:t>
            </w:r>
            <w:r w:rsidRPr="00F43BDE">
              <w:rPr>
                <w:b/>
                <w:bCs/>
                <w:sz w:val="22"/>
                <w:szCs w:val="22"/>
                <w:shd w:val="clear" w:color="auto" w:fill="FFFFFF"/>
              </w:rPr>
              <w:t>-7</w:t>
            </w:r>
            <w:r w:rsidRPr="00955C32">
              <w:rPr>
                <w:b/>
                <w:bCs/>
                <w:sz w:val="22"/>
                <w:szCs w:val="22"/>
                <w:shd w:val="clear" w:color="auto" w:fill="FFFFFF"/>
                <w:lang w:val="en-US"/>
              </w:rPr>
              <w:t>XKS</w:t>
            </w:r>
            <w:r w:rsidRPr="00F43BDE">
              <w:rPr>
                <w:b/>
                <w:bCs/>
                <w:sz w:val="22"/>
                <w:szCs w:val="22"/>
                <w:shd w:val="clear" w:color="auto" w:fill="FFFFFF"/>
              </w:rPr>
              <w:t>-</w:t>
            </w:r>
            <w:r w:rsidRPr="00955C32">
              <w:rPr>
                <w:b/>
                <w:bCs/>
                <w:sz w:val="22"/>
                <w:szCs w:val="22"/>
                <w:shd w:val="clear" w:color="auto" w:fill="FFFFFF"/>
                <w:lang w:val="en-US"/>
              </w:rPr>
              <w:t>H</w:t>
            </w:r>
            <w:r w:rsidRPr="00F43BDE">
              <w:rPr>
                <w:b/>
                <w:bCs/>
                <w:sz w:val="22"/>
                <w:szCs w:val="22"/>
                <w:shd w:val="clear" w:color="auto" w:fill="FFFFFF"/>
              </w:rPr>
              <w:t>202-5</w:t>
            </w:r>
            <w:r w:rsidRPr="00955C32">
              <w:rPr>
                <w:b/>
                <w:bCs/>
                <w:sz w:val="22"/>
                <w:szCs w:val="22"/>
                <w:shd w:val="clear" w:color="auto" w:fill="FFFFFF"/>
                <w:lang w:val="en-US"/>
              </w:rPr>
              <w:t>UA</w:t>
            </w:r>
            <w:r w:rsidRPr="00F43BDE">
              <w:rPr>
                <w:b/>
                <w:bCs/>
                <w:sz w:val="22"/>
                <w:szCs w:val="22"/>
                <w:shd w:val="clear" w:color="auto" w:fill="FFFFFF"/>
              </w:rPr>
              <w:t>3</w:t>
            </w:r>
          </w:p>
          <w:p w14:paraId="6B3D088E" w14:textId="77777777" w:rsidR="00B03F13" w:rsidRPr="004A635E" w:rsidRDefault="00B03F13" w:rsidP="004A635E">
            <w:pPr>
              <w:rPr>
                <w:b/>
                <w:sz w:val="8"/>
                <w:szCs w:val="8"/>
              </w:rPr>
            </w:pPr>
          </w:p>
          <w:p w14:paraId="733EB804" w14:textId="21E3C05C" w:rsidR="004A635E" w:rsidRPr="00B03F13" w:rsidRDefault="00B03F13" w:rsidP="004A635E">
            <w:pPr>
              <w:rPr>
                <w:sz w:val="22"/>
                <w:szCs w:val="22"/>
              </w:rPr>
            </w:pPr>
            <w:r w:rsidRPr="004A635E">
              <w:rPr>
                <w:sz w:val="22"/>
                <w:szCs w:val="22"/>
              </w:rPr>
              <w:t>Αριθ. Έγκρ. Κυκλοφ. (ΥΑΑΤ)</w:t>
            </w:r>
            <w:r w:rsidRPr="004A635E">
              <w:rPr>
                <w:b/>
                <w:sz w:val="22"/>
                <w:szCs w:val="22"/>
              </w:rPr>
              <w:t>:</w:t>
            </w:r>
            <w:r w:rsidRPr="004A635E">
              <w:rPr>
                <w:sz w:val="22"/>
                <w:szCs w:val="22"/>
              </w:rPr>
              <w:t xml:space="preserve"> </w:t>
            </w:r>
            <w:r>
              <w:rPr>
                <w:b/>
                <w:sz w:val="22"/>
                <w:szCs w:val="22"/>
              </w:rPr>
              <w:t>ΤΠ14-0</w:t>
            </w:r>
            <w:r w:rsidRPr="00B03F13">
              <w:rPr>
                <w:b/>
                <w:sz w:val="22"/>
                <w:szCs w:val="22"/>
              </w:rPr>
              <w:t>219</w:t>
            </w:r>
            <w:r w:rsidRPr="004A635E">
              <w:rPr>
                <w:sz w:val="22"/>
                <w:szCs w:val="22"/>
              </w:rPr>
              <w:t xml:space="preserve"> / </w:t>
            </w:r>
            <w:r w:rsidRPr="00B03F13">
              <w:rPr>
                <w:sz w:val="22"/>
                <w:szCs w:val="22"/>
              </w:rPr>
              <w:t>7</w:t>
            </w:r>
            <w:r>
              <w:rPr>
                <w:sz w:val="22"/>
                <w:szCs w:val="22"/>
              </w:rPr>
              <w:t>-</w:t>
            </w:r>
            <w:r w:rsidRPr="00B03F13">
              <w:rPr>
                <w:sz w:val="22"/>
                <w:szCs w:val="22"/>
              </w:rPr>
              <w:t>3</w:t>
            </w:r>
            <w:r>
              <w:rPr>
                <w:sz w:val="22"/>
                <w:szCs w:val="22"/>
              </w:rPr>
              <w:t>-20</w:t>
            </w:r>
            <w:r w:rsidRPr="00B03F13">
              <w:rPr>
                <w:sz w:val="22"/>
                <w:szCs w:val="22"/>
              </w:rPr>
              <w:t>23</w:t>
            </w:r>
          </w:p>
          <w:p w14:paraId="48266704" w14:textId="77777777" w:rsidR="004A635E" w:rsidRPr="004A635E" w:rsidRDefault="004A635E" w:rsidP="004A635E">
            <w:pPr>
              <w:rPr>
                <w:sz w:val="8"/>
                <w:szCs w:val="8"/>
              </w:rPr>
            </w:pPr>
          </w:p>
          <w:p w14:paraId="39D21B74" w14:textId="77777777" w:rsidR="00B03F13" w:rsidRPr="00F43BDE" w:rsidRDefault="00B03F13" w:rsidP="00B03F13">
            <w:pPr>
              <w:rPr>
                <w:sz w:val="22"/>
                <w:szCs w:val="22"/>
              </w:rPr>
            </w:pPr>
            <w:r w:rsidRPr="004A635E">
              <w:rPr>
                <w:sz w:val="22"/>
                <w:szCs w:val="22"/>
              </w:rPr>
              <w:t>Παρασκευαστής</w:t>
            </w:r>
            <w:r w:rsidRPr="00F43BDE">
              <w:rPr>
                <w:sz w:val="22"/>
                <w:szCs w:val="22"/>
              </w:rPr>
              <w:t xml:space="preserve"> </w:t>
            </w:r>
            <w:r w:rsidRPr="004A635E">
              <w:rPr>
                <w:sz w:val="22"/>
                <w:szCs w:val="22"/>
              </w:rPr>
              <w:t>σκευάσματος</w:t>
            </w:r>
            <w:r w:rsidRPr="00F43BDE">
              <w:rPr>
                <w:sz w:val="22"/>
                <w:szCs w:val="22"/>
              </w:rPr>
              <w:t xml:space="preserve">: </w:t>
            </w:r>
          </w:p>
          <w:p w14:paraId="4C73FE64" w14:textId="77777777" w:rsidR="00B03F13" w:rsidRPr="00955C32" w:rsidRDefault="00B03F13" w:rsidP="00B03F13">
            <w:pPr>
              <w:rPr>
                <w:rFonts w:eastAsia="Times New Roman"/>
                <w:sz w:val="22"/>
                <w:szCs w:val="22"/>
                <w:lang w:val="en-US" w:eastAsia="el-GR"/>
              </w:rPr>
            </w:pPr>
            <w:r>
              <w:rPr>
                <w:b/>
                <w:sz w:val="22"/>
                <w:szCs w:val="22"/>
                <w:lang w:val="es-ES"/>
              </w:rPr>
              <w:t>Laboratorios Agrochem S.L.</w:t>
            </w:r>
            <w:r w:rsidRPr="004A635E">
              <w:rPr>
                <w:b/>
                <w:sz w:val="22"/>
                <w:szCs w:val="22"/>
                <w:lang w:val="es-ES"/>
              </w:rPr>
              <w:t xml:space="preserve">, </w:t>
            </w:r>
            <w:r w:rsidRPr="00955C32">
              <w:rPr>
                <w:sz w:val="22"/>
                <w:szCs w:val="22"/>
                <w:lang w:val="en-US"/>
              </w:rPr>
              <w:t xml:space="preserve">C/Tres Rieres, 10 – Pol. Ind. Sud., 08292 Esparraguera, Barcelona, </w:t>
            </w:r>
            <w:r>
              <w:rPr>
                <w:sz w:val="22"/>
                <w:szCs w:val="22"/>
                <w:lang w:val="en-US"/>
              </w:rPr>
              <w:t>Spain (</w:t>
            </w:r>
            <w:r w:rsidRPr="00955C32">
              <w:rPr>
                <w:sz w:val="22"/>
                <w:szCs w:val="22"/>
              </w:rPr>
              <w:t>Ισπανία</w:t>
            </w:r>
            <w:r>
              <w:rPr>
                <w:sz w:val="22"/>
                <w:szCs w:val="22"/>
                <w:lang w:val="en-US"/>
              </w:rPr>
              <w:t>).</w:t>
            </w:r>
          </w:p>
          <w:p w14:paraId="4738F52D" w14:textId="3D4A1C1F" w:rsidR="004A635E" w:rsidRPr="00B03F13" w:rsidRDefault="004A635E" w:rsidP="004A635E">
            <w:pPr>
              <w:rPr>
                <w:rFonts w:eastAsia="Times New Roman"/>
                <w:sz w:val="22"/>
                <w:szCs w:val="22"/>
                <w:lang w:val="en-US" w:eastAsia="el-GR"/>
              </w:rPr>
            </w:pPr>
          </w:p>
          <w:p w14:paraId="6F22A0FA" w14:textId="77777777" w:rsidR="004A635E" w:rsidRPr="004A635E" w:rsidRDefault="004A635E" w:rsidP="004A635E">
            <w:pPr>
              <w:rPr>
                <w:rFonts w:eastAsia="Times New Roman"/>
                <w:sz w:val="8"/>
                <w:szCs w:val="8"/>
                <w:lang w:val="es-ES" w:eastAsia="el-GR"/>
              </w:rPr>
            </w:pPr>
          </w:p>
          <w:p w14:paraId="631E0E5D" w14:textId="77777777" w:rsidR="00CB374F" w:rsidRPr="00A44C4F" w:rsidRDefault="00CB374F" w:rsidP="00347325">
            <w:pPr>
              <w:rPr>
                <w:sz w:val="8"/>
                <w:szCs w:val="8"/>
                <w:lang w:val="en-US"/>
              </w:rPr>
            </w:pPr>
          </w:p>
        </w:tc>
      </w:tr>
    </w:tbl>
    <w:p w14:paraId="2F16EFDB" w14:textId="77777777" w:rsidR="00B03F13" w:rsidRPr="00F43BDE" w:rsidRDefault="00B03F13" w:rsidP="00B03F13">
      <w:pPr>
        <w:rPr>
          <w:lang w:val="en-US"/>
        </w:rPr>
      </w:pPr>
    </w:p>
    <w:p w14:paraId="1DFC6D04" w14:textId="77777777" w:rsidR="00B03F13" w:rsidRPr="00955C32" w:rsidRDefault="00B03F13" w:rsidP="00B03F13">
      <w:r w:rsidRPr="00955C32">
        <w:t xml:space="preserve">Κάτοχος της άδειας-Αποκλειστική Διάθεση: </w:t>
      </w:r>
    </w:p>
    <w:p w14:paraId="77EEFEBA" w14:textId="77777777" w:rsidR="00B03F13" w:rsidRPr="00955C32" w:rsidRDefault="00B03F13" w:rsidP="00B03F13">
      <w:pPr>
        <w:rPr>
          <w:b/>
          <w:lang w:val="en-US"/>
        </w:rPr>
      </w:pPr>
      <w:r w:rsidRPr="00955C32">
        <w:rPr>
          <w:b/>
          <w:lang w:val="en-US"/>
        </w:rPr>
        <w:t>GLUE AND TRADE E.E.</w:t>
      </w:r>
    </w:p>
    <w:p w14:paraId="26AF2254" w14:textId="77777777" w:rsidR="00B03F13" w:rsidRPr="00955C32" w:rsidRDefault="00B03F13" w:rsidP="00B03F13">
      <w:pPr>
        <w:rPr>
          <w:b/>
          <w:color w:val="FF0000"/>
        </w:rPr>
      </w:pPr>
      <w:r w:rsidRPr="00955C32">
        <w:t>Αγίου Θωμά 57, 19004 Σπάτα, Αττική</w:t>
      </w:r>
    </w:p>
    <w:p w14:paraId="27C4B4A1" w14:textId="77777777" w:rsidR="00B03F13" w:rsidRDefault="00B03F13" w:rsidP="00B03F13">
      <w:pPr>
        <w:rPr>
          <w:color w:val="FF0000"/>
        </w:rPr>
      </w:pPr>
      <w:r w:rsidRPr="005A4987">
        <w:rPr>
          <w:b/>
          <w:i/>
          <w:color w:val="FF0000"/>
          <w:highlight w:val="yellow"/>
          <w:lang w:val="en-US"/>
        </w:rPr>
        <w:t>logo</w:t>
      </w:r>
      <w:r w:rsidRPr="005A4987">
        <w:rPr>
          <w:b/>
          <w:i/>
          <w:color w:val="FF0000"/>
          <w:highlight w:val="yellow"/>
        </w:rPr>
        <w:t xml:space="preserve"> κλπ.</w:t>
      </w:r>
    </w:p>
    <w:p w14:paraId="4D720C7A" w14:textId="77777777" w:rsidR="009B7B4A" w:rsidRPr="00B075A2" w:rsidRDefault="009B7B4A" w:rsidP="007219C6">
      <w:pPr>
        <w:tabs>
          <w:tab w:val="left" w:pos="7452"/>
        </w:tabs>
        <w:rPr>
          <w:b/>
        </w:rPr>
      </w:pPr>
    </w:p>
    <w:p w14:paraId="2B5583B5" w14:textId="77777777" w:rsidR="009B7B4A" w:rsidRDefault="009B7B4A" w:rsidP="007219C6">
      <w:pPr>
        <w:tabs>
          <w:tab w:val="left" w:pos="7452"/>
        </w:tabs>
        <w:rPr>
          <w:b/>
          <w:lang w:val="es-ES"/>
        </w:rPr>
      </w:pPr>
    </w:p>
    <w:p w14:paraId="0928AC00" w14:textId="77777777" w:rsidR="00347325" w:rsidRDefault="00347325" w:rsidP="007219C6">
      <w:pPr>
        <w:tabs>
          <w:tab w:val="left" w:pos="7452"/>
        </w:tabs>
        <w:rPr>
          <w:b/>
          <w:lang w:val="es-ES"/>
        </w:rPr>
      </w:pPr>
    </w:p>
    <w:p w14:paraId="785B28A7" w14:textId="77777777" w:rsidR="00347325" w:rsidRDefault="00347325" w:rsidP="007219C6">
      <w:pPr>
        <w:tabs>
          <w:tab w:val="left" w:pos="7452"/>
        </w:tabs>
        <w:rPr>
          <w:b/>
          <w:lang w:val="es-ES"/>
        </w:rPr>
      </w:pPr>
    </w:p>
    <w:p w14:paraId="5C3398C2" w14:textId="77777777" w:rsidR="00347325" w:rsidRDefault="00347325" w:rsidP="007219C6">
      <w:pPr>
        <w:tabs>
          <w:tab w:val="left" w:pos="7452"/>
        </w:tabs>
        <w:rPr>
          <w:b/>
          <w:lang w:val="es-ES"/>
        </w:rPr>
      </w:pPr>
    </w:p>
    <w:p w14:paraId="427841B0" w14:textId="77777777" w:rsidR="00347325" w:rsidRDefault="00347325" w:rsidP="007219C6">
      <w:pPr>
        <w:tabs>
          <w:tab w:val="left" w:pos="7452"/>
        </w:tabs>
        <w:rPr>
          <w:b/>
          <w:lang w:val="es-ES"/>
        </w:rPr>
      </w:pPr>
    </w:p>
    <w:p w14:paraId="1A7CD668" w14:textId="77777777" w:rsidR="00347325" w:rsidRDefault="00347325" w:rsidP="007219C6">
      <w:pPr>
        <w:tabs>
          <w:tab w:val="left" w:pos="7452"/>
        </w:tabs>
        <w:rPr>
          <w:b/>
          <w:lang w:val="es-ES"/>
        </w:rPr>
      </w:pPr>
    </w:p>
    <w:p w14:paraId="423A029D" w14:textId="77777777" w:rsidR="00347325" w:rsidRDefault="00347325" w:rsidP="007219C6">
      <w:pPr>
        <w:tabs>
          <w:tab w:val="left" w:pos="7452"/>
        </w:tabs>
        <w:rPr>
          <w:b/>
          <w:lang w:val="es-ES"/>
        </w:rPr>
      </w:pPr>
    </w:p>
    <w:p w14:paraId="468308AB" w14:textId="77777777" w:rsidR="00347325" w:rsidRDefault="00347325" w:rsidP="007219C6">
      <w:pPr>
        <w:tabs>
          <w:tab w:val="left" w:pos="7452"/>
        </w:tabs>
        <w:rPr>
          <w:b/>
          <w:lang w:val="es-ES"/>
        </w:rPr>
      </w:pPr>
    </w:p>
    <w:p w14:paraId="7280F0E7" w14:textId="34AB6E24" w:rsidR="00347325" w:rsidRDefault="00347325" w:rsidP="007219C6">
      <w:pPr>
        <w:tabs>
          <w:tab w:val="left" w:pos="7452"/>
        </w:tabs>
        <w:rPr>
          <w:b/>
          <w:lang w:val="es-ES"/>
        </w:rPr>
      </w:pPr>
    </w:p>
    <w:p w14:paraId="2FAD3046" w14:textId="77777777" w:rsidR="00B075A2" w:rsidRDefault="00B075A2" w:rsidP="007219C6">
      <w:pPr>
        <w:tabs>
          <w:tab w:val="left" w:pos="7452"/>
        </w:tabs>
        <w:rPr>
          <w:b/>
          <w:lang w:val="es-ES"/>
        </w:rPr>
      </w:pPr>
    </w:p>
    <w:p w14:paraId="4C578720" w14:textId="77777777" w:rsidR="008C1CF9" w:rsidRDefault="008C1CF9" w:rsidP="007219C6">
      <w:pPr>
        <w:tabs>
          <w:tab w:val="left" w:pos="7452"/>
        </w:tabs>
        <w:rPr>
          <w:b/>
          <w:lang w:val="es-ES"/>
        </w:rPr>
      </w:pPr>
    </w:p>
    <w:p w14:paraId="03010E7B" w14:textId="77777777" w:rsidR="005D6DD8" w:rsidRDefault="005D6DD8" w:rsidP="005D6DD8">
      <w:pPr>
        <w:rPr>
          <w:b/>
          <w:sz w:val="22"/>
          <w:szCs w:val="22"/>
        </w:rPr>
      </w:pPr>
      <w:r w:rsidRPr="00F43BDE">
        <w:rPr>
          <w:b/>
          <w:sz w:val="22"/>
          <w:szCs w:val="22"/>
          <w:u w:val="single"/>
        </w:rPr>
        <w:lastRenderedPageBreak/>
        <w:t>ΧΑΡΑΚΤΗΡΙΣΤΙΚΑ</w:t>
      </w:r>
      <w:r>
        <w:rPr>
          <w:b/>
          <w:sz w:val="22"/>
          <w:szCs w:val="22"/>
        </w:rPr>
        <w:t xml:space="preserve">: </w:t>
      </w:r>
    </w:p>
    <w:p w14:paraId="5BDF9AFC" w14:textId="3806D404" w:rsidR="00F43BDE" w:rsidRDefault="00F43BDE" w:rsidP="00F43BDE">
      <w:pPr>
        <w:rPr>
          <w:sz w:val="22"/>
          <w:szCs w:val="22"/>
        </w:rPr>
      </w:pPr>
      <w:r w:rsidRPr="005D6DD8">
        <w:rPr>
          <w:sz w:val="22"/>
          <w:szCs w:val="22"/>
        </w:rPr>
        <w:t xml:space="preserve">Το </w:t>
      </w:r>
      <w:r>
        <w:rPr>
          <w:b/>
          <w:sz w:val="22"/>
          <w:szCs w:val="22"/>
          <w:lang w:val="en-US"/>
        </w:rPr>
        <w:t>PETRORAT</w:t>
      </w:r>
      <w:r w:rsidRPr="00347325">
        <w:rPr>
          <w:b/>
          <w:sz w:val="22"/>
          <w:szCs w:val="22"/>
        </w:rPr>
        <w:t xml:space="preserve"> </w:t>
      </w:r>
      <w:r>
        <w:rPr>
          <w:b/>
          <w:sz w:val="22"/>
          <w:szCs w:val="22"/>
          <w:lang w:val="en-US"/>
        </w:rPr>
        <w:t>BRODI</w:t>
      </w:r>
      <w:r w:rsidRPr="00955C32">
        <w:rPr>
          <w:b/>
          <w:sz w:val="22"/>
          <w:szCs w:val="22"/>
        </w:rPr>
        <w:t xml:space="preserve">-3 </w:t>
      </w:r>
      <w:r>
        <w:rPr>
          <w:b/>
          <w:sz w:val="22"/>
          <w:szCs w:val="22"/>
          <w:lang w:val="en-US"/>
        </w:rPr>
        <w:t>PELLET</w:t>
      </w:r>
      <w:r w:rsidRPr="005D6DD8">
        <w:rPr>
          <w:sz w:val="22"/>
          <w:szCs w:val="22"/>
        </w:rPr>
        <w:t xml:space="preserve"> είναι ένα αντιπηκτικό ετοιμόχρηστο τρωκτικοκτόνο δόλωμα σε </w:t>
      </w:r>
      <w:bookmarkStart w:id="1" w:name="_Hlk130717951"/>
      <w:r>
        <w:rPr>
          <w:sz w:val="22"/>
          <w:szCs w:val="22"/>
        </w:rPr>
        <w:t>κουφέτο</w:t>
      </w:r>
      <w:r w:rsidRPr="00E04F33">
        <w:rPr>
          <w:sz w:val="22"/>
          <w:szCs w:val="22"/>
        </w:rPr>
        <w:t>-</w:t>
      </w:r>
      <w:r>
        <w:rPr>
          <w:sz w:val="22"/>
          <w:szCs w:val="22"/>
          <w:lang w:val="en-US"/>
        </w:rPr>
        <w:t>pellet</w:t>
      </w:r>
      <w:r w:rsidRPr="00E04F33">
        <w:rPr>
          <w:sz w:val="22"/>
          <w:szCs w:val="22"/>
        </w:rPr>
        <w:t xml:space="preserve"> (</w:t>
      </w:r>
      <w:r>
        <w:rPr>
          <w:sz w:val="22"/>
          <w:szCs w:val="22"/>
          <w:lang w:val="en-US"/>
        </w:rPr>
        <w:t>RB</w:t>
      </w:r>
      <w:r w:rsidRPr="00E04F33">
        <w:rPr>
          <w:sz w:val="22"/>
          <w:szCs w:val="22"/>
        </w:rPr>
        <w:t>)</w:t>
      </w:r>
      <w:r w:rsidRPr="005D6DD8">
        <w:rPr>
          <w:sz w:val="22"/>
          <w:szCs w:val="22"/>
        </w:rPr>
        <w:t xml:space="preserve"> </w:t>
      </w:r>
      <w:bookmarkEnd w:id="1"/>
      <w:r w:rsidRPr="005D6DD8">
        <w:rPr>
          <w:sz w:val="22"/>
          <w:szCs w:val="22"/>
        </w:rPr>
        <w:t xml:space="preserve">που χρησιμοποιείται για την καταπολέμηση των οικιακών ποντικών </w:t>
      </w:r>
      <w:r w:rsidRPr="005D6DD8">
        <w:rPr>
          <w:rFonts w:eastAsia="Times New Roman"/>
          <w:sz w:val="22"/>
          <w:szCs w:val="22"/>
          <w:lang w:eastAsia="el-GR"/>
        </w:rPr>
        <w:t>(</w:t>
      </w:r>
      <w:r w:rsidRPr="005D6DD8">
        <w:rPr>
          <w:rFonts w:eastAsia="Times New Roman"/>
          <w:i/>
          <w:iCs/>
          <w:sz w:val="22"/>
          <w:szCs w:val="22"/>
          <w:lang w:eastAsia="el-GR"/>
        </w:rPr>
        <w:t>Mus musculus</w:t>
      </w:r>
      <w:r w:rsidRPr="005D6DD8">
        <w:rPr>
          <w:rFonts w:eastAsia="Times New Roman"/>
          <w:sz w:val="22"/>
          <w:szCs w:val="22"/>
          <w:lang w:eastAsia="el-GR"/>
        </w:rPr>
        <w:t>)</w:t>
      </w:r>
      <w:r w:rsidRPr="005D6DD8">
        <w:rPr>
          <w:sz w:val="22"/>
          <w:szCs w:val="22"/>
        </w:rPr>
        <w:t xml:space="preserve"> </w:t>
      </w:r>
      <w:r w:rsidRPr="005D6DD8">
        <w:rPr>
          <w:rFonts w:eastAsia="Times New Roman"/>
          <w:sz w:val="22"/>
          <w:szCs w:val="22"/>
          <w:lang w:eastAsia="el-GR"/>
        </w:rPr>
        <w:t xml:space="preserve">) </w:t>
      </w:r>
      <w:r w:rsidRPr="005D6DD8">
        <w:rPr>
          <w:sz w:val="22"/>
          <w:szCs w:val="22"/>
        </w:rPr>
        <w:t xml:space="preserve">σε εσωτερικούς χώρους και των καφέ αρουραίων </w:t>
      </w:r>
      <w:r w:rsidRPr="005D6DD8">
        <w:rPr>
          <w:rFonts w:eastAsia="Times New Roman"/>
          <w:sz w:val="22"/>
          <w:szCs w:val="22"/>
          <w:lang w:eastAsia="el-GR"/>
        </w:rPr>
        <w:t>(</w:t>
      </w:r>
      <w:r w:rsidRPr="005D6DD8">
        <w:rPr>
          <w:rFonts w:eastAsia="Times New Roman"/>
          <w:i/>
          <w:iCs/>
          <w:sz w:val="22"/>
          <w:szCs w:val="22"/>
          <w:lang w:eastAsia="el-GR"/>
        </w:rPr>
        <w:t>Rattus norvegicus</w:t>
      </w:r>
      <w:r w:rsidRPr="005D6DD8">
        <w:rPr>
          <w:rFonts w:eastAsia="Times New Roman"/>
          <w:sz w:val="22"/>
          <w:szCs w:val="22"/>
          <w:lang w:eastAsia="el-GR"/>
        </w:rPr>
        <w:t xml:space="preserve">) </w:t>
      </w:r>
      <w:r w:rsidRPr="005D6DD8">
        <w:rPr>
          <w:sz w:val="22"/>
          <w:szCs w:val="22"/>
        </w:rPr>
        <w:t xml:space="preserve">σε εσωτερικούς χώρους και σε εξωτερικούς χώρους </w:t>
      </w:r>
      <w:r>
        <w:rPr>
          <w:sz w:val="22"/>
          <w:szCs w:val="22"/>
        </w:rPr>
        <w:t>περιμετρικά των κτιρίων</w:t>
      </w:r>
      <w:r w:rsidRPr="005D6DD8">
        <w:rPr>
          <w:sz w:val="22"/>
          <w:szCs w:val="22"/>
        </w:rPr>
        <w:t>.</w:t>
      </w:r>
      <w:r w:rsidRPr="00E04F33">
        <w:rPr>
          <w:sz w:val="22"/>
          <w:szCs w:val="22"/>
        </w:rPr>
        <w:t xml:space="preserve"> </w:t>
      </w:r>
    </w:p>
    <w:p w14:paraId="79005FFC" w14:textId="77777777" w:rsidR="00F43BDE" w:rsidRDefault="00F43BDE" w:rsidP="00F43BDE">
      <w:pPr>
        <w:rPr>
          <w:sz w:val="22"/>
          <w:szCs w:val="22"/>
        </w:rPr>
      </w:pPr>
    </w:p>
    <w:p w14:paraId="28FA35AF" w14:textId="77777777" w:rsidR="005D6DD8" w:rsidRDefault="005D6DD8" w:rsidP="005D6DD8">
      <w:pPr>
        <w:rPr>
          <w:b/>
          <w:sz w:val="22"/>
          <w:szCs w:val="22"/>
        </w:rPr>
      </w:pPr>
      <w:r w:rsidRPr="00F43BDE">
        <w:rPr>
          <w:b/>
          <w:sz w:val="22"/>
          <w:szCs w:val="22"/>
          <w:u w:val="single"/>
        </w:rPr>
        <w:t>ΕΓΚΕΚΡΙΜΕΝΕΣ ΧΡΗΣΕΙΣ</w:t>
      </w:r>
      <w:r>
        <w:rPr>
          <w:b/>
          <w:sz w:val="22"/>
          <w:szCs w:val="22"/>
        </w:rPr>
        <w:t xml:space="preserve">: </w:t>
      </w:r>
    </w:p>
    <w:p w14:paraId="21EA4115" w14:textId="1E6F5224" w:rsidR="005D6DD8" w:rsidRDefault="005D6DD8" w:rsidP="005D6DD8">
      <w:pPr>
        <w:rPr>
          <w:sz w:val="22"/>
          <w:szCs w:val="22"/>
        </w:rPr>
      </w:pPr>
      <w:r w:rsidRPr="0035423E">
        <w:rPr>
          <w:sz w:val="22"/>
          <w:szCs w:val="22"/>
          <w:u w:val="single"/>
        </w:rPr>
        <w:t>Κατηγορία χρηστών</w:t>
      </w:r>
      <w:r w:rsidRPr="0035423E">
        <w:rPr>
          <w:sz w:val="22"/>
          <w:szCs w:val="22"/>
        </w:rPr>
        <w:t xml:space="preserve">: </w:t>
      </w:r>
      <w:r w:rsidR="003F1E95">
        <w:rPr>
          <w:sz w:val="22"/>
          <w:szCs w:val="22"/>
        </w:rPr>
        <w:t>Ευρύ κοινό</w:t>
      </w:r>
      <w:r>
        <w:rPr>
          <w:sz w:val="22"/>
          <w:szCs w:val="22"/>
        </w:rPr>
        <w:t>.</w:t>
      </w:r>
    </w:p>
    <w:p w14:paraId="1C2E05E8" w14:textId="77777777" w:rsidR="00F43BDE" w:rsidRPr="004E1F07" w:rsidRDefault="00F43BDE" w:rsidP="00F43BDE">
      <w:pPr>
        <w:rPr>
          <w:sz w:val="22"/>
          <w:szCs w:val="22"/>
        </w:rPr>
      </w:pPr>
      <w:r>
        <w:rPr>
          <w:sz w:val="22"/>
          <w:szCs w:val="22"/>
          <w:u w:val="single"/>
        </w:rPr>
        <w:t>Μέθοδος εφαρμογής</w:t>
      </w:r>
      <w:r w:rsidRPr="0035423E">
        <w:rPr>
          <w:sz w:val="22"/>
          <w:szCs w:val="22"/>
        </w:rPr>
        <w:t xml:space="preserve">: </w:t>
      </w:r>
      <w:r>
        <w:rPr>
          <w:sz w:val="22"/>
          <w:szCs w:val="22"/>
        </w:rPr>
        <w:t xml:space="preserve">Ετοιμόχρηστο δόλωμα για χρήση σε δολωματικούς σταθμούς ανθεκτικούς στην παραβίαση. </w:t>
      </w:r>
    </w:p>
    <w:p w14:paraId="2CA54B62" w14:textId="77777777" w:rsidR="00F43BDE" w:rsidRDefault="00F43BDE" w:rsidP="00F43BDE">
      <w:pPr>
        <w:rPr>
          <w:sz w:val="22"/>
          <w:szCs w:val="22"/>
        </w:rPr>
      </w:pPr>
      <w:r>
        <w:rPr>
          <w:sz w:val="22"/>
          <w:szCs w:val="22"/>
          <w:u w:val="single"/>
        </w:rPr>
        <w:t>Δόση και συχνότητα εφαρμογής</w:t>
      </w:r>
      <w:r w:rsidRPr="0035423E">
        <w:rPr>
          <w:sz w:val="22"/>
          <w:szCs w:val="22"/>
        </w:rPr>
        <w:t xml:space="preserve">: </w:t>
      </w:r>
    </w:p>
    <w:p w14:paraId="5C49A79F" w14:textId="120B84F6" w:rsidR="00F43BDE" w:rsidRPr="00F43BDE" w:rsidRDefault="00F43BDE" w:rsidP="00F43BDE">
      <w:pPr>
        <w:rPr>
          <w:sz w:val="22"/>
          <w:szCs w:val="22"/>
        </w:rPr>
      </w:pPr>
      <w:r>
        <w:rPr>
          <w:sz w:val="22"/>
          <w:szCs w:val="22"/>
        </w:rPr>
        <w:t>•</w:t>
      </w:r>
      <w:r w:rsidRPr="00577CBD">
        <w:rPr>
          <w:b/>
          <w:bCs/>
          <w:sz w:val="22"/>
          <w:szCs w:val="22"/>
        </w:rPr>
        <w:t>Οικιακοί Ποντικοί</w:t>
      </w:r>
      <w:r>
        <w:rPr>
          <w:sz w:val="22"/>
          <w:szCs w:val="22"/>
        </w:rPr>
        <w:t>: 20-40 γραμ. δολώματος ανά δολωματικό σταθμό.</w:t>
      </w:r>
      <w:r>
        <w:rPr>
          <w:sz w:val="22"/>
          <w:szCs w:val="22"/>
        </w:rPr>
        <w:t xml:space="preserve"> </w:t>
      </w:r>
      <w:r w:rsidRPr="00F43BDE">
        <w:rPr>
          <w:sz w:val="22"/>
          <w:szCs w:val="22"/>
        </w:rPr>
        <w:t>Εάν χρειάζεται να χρησιμοποιηθούν περισσότεροι του ενός δολωματικοί σταθμοί, η ελάχιστη απόσταση μεταξύ τους θα είναι 5 μέτρα.</w:t>
      </w:r>
    </w:p>
    <w:p w14:paraId="10B0615F" w14:textId="4BAE2E63" w:rsidR="00F43BDE" w:rsidRDefault="00F43BDE" w:rsidP="00F43BDE">
      <w:pPr>
        <w:rPr>
          <w:sz w:val="22"/>
          <w:szCs w:val="22"/>
        </w:rPr>
      </w:pPr>
      <w:r>
        <w:rPr>
          <w:sz w:val="22"/>
          <w:szCs w:val="22"/>
        </w:rPr>
        <w:t>•</w:t>
      </w:r>
      <w:r w:rsidRPr="0035423E">
        <w:rPr>
          <w:b/>
          <w:sz w:val="22"/>
          <w:szCs w:val="22"/>
        </w:rPr>
        <w:t>Αρουραίοι</w:t>
      </w:r>
      <w:r>
        <w:rPr>
          <w:sz w:val="22"/>
          <w:szCs w:val="22"/>
        </w:rPr>
        <w:t>: 100-200 γραμ. δολώματος ανά δολωματικό σταθμό.</w:t>
      </w:r>
      <w:r>
        <w:rPr>
          <w:sz w:val="22"/>
          <w:szCs w:val="22"/>
        </w:rPr>
        <w:t xml:space="preserve"> </w:t>
      </w:r>
      <w:r w:rsidRPr="00F43BDE">
        <w:rPr>
          <w:sz w:val="22"/>
          <w:szCs w:val="22"/>
        </w:rPr>
        <w:t>Εάν χρειάζεται να χρησιμοποιηθούν περισσότεροι του ενός δολωματικοί σταθμοί, η ελάχιστη απόσταση μεταξύ τους θα είναι 5 μέτρα.</w:t>
      </w:r>
    </w:p>
    <w:p w14:paraId="34C8AB60" w14:textId="77777777" w:rsidR="00F43BDE" w:rsidRDefault="00F43BDE" w:rsidP="00F43BDE">
      <w:pPr>
        <w:rPr>
          <w:sz w:val="22"/>
          <w:szCs w:val="22"/>
        </w:rPr>
      </w:pPr>
    </w:p>
    <w:p w14:paraId="463269DA" w14:textId="77777777" w:rsidR="005D6DD8" w:rsidRDefault="005D6DD8" w:rsidP="005D6DD8">
      <w:pPr>
        <w:rPr>
          <w:b/>
          <w:sz w:val="22"/>
          <w:szCs w:val="22"/>
        </w:rPr>
      </w:pPr>
      <w:r w:rsidRPr="00F43BDE">
        <w:rPr>
          <w:b/>
          <w:sz w:val="22"/>
          <w:szCs w:val="22"/>
          <w:u w:val="single"/>
        </w:rPr>
        <w:t>ΟΔΗΓΙΕΣ ΧΡΗΣΗΣ</w:t>
      </w:r>
      <w:r>
        <w:rPr>
          <w:b/>
          <w:sz w:val="22"/>
          <w:szCs w:val="22"/>
        </w:rPr>
        <w:t xml:space="preserve">: </w:t>
      </w:r>
    </w:p>
    <w:p w14:paraId="1713B49A" w14:textId="68ED4EDB" w:rsidR="0035423E" w:rsidRDefault="005446B1" w:rsidP="00CB374F">
      <w:pPr>
        <w:rPr>
          <w:sz w:val="22"/>
          <w:szCs w:val="22"/>
        </w:rPr>
      </w:pPr>
      <w:r>
        <w:rPr>
          <w:sz w:val="22"/>
          <w:szCs w:val="22"/>
          <w:u w:val="single"/>
        </w:rPr>
        <w:t>Γενικές οδηγίες</w:t>
      </w:r>
      <w:r w:rsidRPr="0035423E">
        <w:rPr>
          <w:sz w:val="22"/>
          <w:szCs w:val="22"/>
        </w:rPr>
        <w:t xml:space="preserve">: </w:t>
      </w:r>
    </w:p>
    <w:p w14:paraId="64B02FBB" w14:textId="69087DF7" w:rsidR="00F43BDE" w:rsidRPr="00F43BDE" w:rsidRDefault="00F43BDE" w:rsidP="005446B1">
      <w:pPr>
        <w:autoSpaceDE w:val="0"/>
        <w:autoSpaceDN w:val="0"/>
        <w:adjustRightInd w:val="0"/>
        <w:rPr>
          <w:sz w:val="22"/>
          <w:szCs w:val="22"/>
          <w:lang w:eastAsia="el-GR"/>
        </w:rPr>
      </w:pPr>
      <w:r w:rsidRPr="00F43BDE">
        <w:rPr>
          <w:sz w:val="22"/>
          <w:szCs w:val="22"/>
        </w:rPr>
        <w:t>Διαβάστε και ακολουθήστε τις πληροφορίες του προϊόντος καθώς και οποιεσδήποτε άλλες πληροφορίες που συνοδεύουν το προϊόν ή παρέχονται στο σημείο πώλησης πριν το χρησιμοποιήσετε. Πριν από τη χρήση τρωκτικοκτόνων, συνιστάται η χρήση μη χημικών μεθόδων (π.χ. παγίδες). Αφαιρέστε τα τρόφιμα που είναι άμεσα διαθέσιμα στα τρωκτικά (π.χ. χυμένα δημητριακά ή υπολείμματα τροφών). Εκτός από αυτό, μην καθαρίζετε την περιοχή που θα περιποιηθείτε λίγο πριν από τη θεραπεία, αυτό θα ενοχλήσει μόνο τα τρωκτικά και η αποδοχή του δολώματος θα είναι πιο δύσκολο να επιτευχθεί. Οι δολωματικοί σταθμοί πρέπει να τοποθετούνται κοντά σε μέρη όπου έχει παρατηρηθεί δραστηριότητα τρωκτικών (προσδιορισμένες διαδρομές, σημεία κατασκευής φωλιάς, σημεία τροφής, τρύπες, λαγούμια, κ.λπ.) Όπου είναι δυνατόν, ο δολωματικός σταθμός πρέπει να στερεώνεται στο έδαφος ή σε άλλες κατασκευές. Μην ανοίγετε τη σακούλα που περιέχει το δόλωμα. Τοποθετήστε τους δολωματικούς σταθμούς μακριά από παιδιά, πουλιά, κατοικίδια, ζώα φάρμας και άλλα ζώα για τα οποία δεν προορίζεται το προϊόν. Δεν πρέπει να εφαρμόζεται σε περιοχές όπου τρόφιμα/ζωοτροφές, ποτά, μαγειρικά σκεύη ή επιφάνειες επεξεργασίας τροφίμων μπορεί να έρθουν σε επαφή ή να μολυνθούν από το προϊόν. Μην τοποθετείτε δολωματικούς σταθμούς κοντά σε συστήματα αποστράγγισης νερού όπου το δόλωμα μπορεί να έρθει σε επαφή με το νερό. Κατά τη χρήση του προϊόντος μην τρώτε, πίνετε ή καπνίζετε. Πλύνετε τα χέρια και τις εκτεθειμένες περιοχές του δέρματος μετά τη χρήση του προϊόντος. Αφαιρέστε το υπολειπόμενο δόλωμα και το δολωματικό σταθμό στο τέλος της θεραπείας.</w:t>
      </w:r>
    </w:p>
    <w:p w14:paraId="5300CE98" w14:textId="77777777" w:rsidR="00F43BDE" w:rsidRDefault="00F43BDE" w:rsidP="00F43BDE">
      <w:pPr>
        <w:rPr>
          <w:sz w:val="22"/>
          <w:szCs w:val="22"/>
        </w:rPr>
      </w:pPr>
      <w:r>
        <w:rPr>
          <w:sz w:val="22"/>
          <w:szCs w:val="22"/>
          <w:u w:val="single"/>
        </w:rPr>
        <w:t>Οδηγίες χρήσης για εφαρμογή σε εσωτερικούς χώρους</w:t>
      </w:r>
      <w:r w:rsidRPr="0035423E">
        <w:rPr>
          <w:sz w:val="22"/>
          <w:szCs w:val="22"/>
        </w:rPr>
        <w:t xml:space="preserve">: </w:t>
      </w:r>
    </w:p>
    <w:p w14:paraId="40C5B252" w14:textId="40FCA510" w:rsidR="00F43BDE" w:rsidRDefault="00F43BDE" w:rsidP="005446B1">
      <w:pPr>
        <w:autoSpaceDE w:val="0"/>
        <w:autoSpaceDN w:val="0"/>
        <w:adjustRightInd w:val="0"/>
        <w:rPr>
          <w:sz w:val="22"/>
          <w:szCs w:val="22"/>
        </w:rPr>
      </w:pPr>
      <w:r w:rsidRPr="00F43BDE">
        <w:rPr>
          <w:sz w:val="22"/>
          <w:szCs w:val="22"/>
        </w:rPr>
        <w:t>Οι δολωματικοί σταθμοί πρέπει να ελέγχονται τουλάχιστον κάθε 2-3 ημέρες</w:t>
      </w:r>
      <w:r>
        <w:rPr>
          <w:sz w:val="22"/>
          <w:szCs w:val="22"/>
        </w:rPr>
        <w:t xml:space="preserve"> για τους οικιακούς ποντικούς και κάθε 5-7 ημέρες για τους αρουραίους,</w:t>
      </w:r>
      <w:r w:rsidRPr="00F43BDE">
        <w:rPr>
          <w:sz w:val="22"/>
          <w:szCs w:val="22"/>
        </w:rPr>
        <w:t xml:space="preserve"> κατά την έναρξη της θεραπείας και τουλάχιστον μία φορά την εβδομάδα στη συνέχεια ώστε να ελέγχεται αν το δόλωμα είναι αποδεκτό, για άθικτους δολωματικούς σταθμούς και για απομάκρυνση νεκρών τρωκτικών. Επαναγεμίστε τον δολωματικό σταθμό όταν χρειάζεται. </w:t>
      </w:r>
      <w:r>
        <w:rPr>
          <w:sz w:val="22"/>
          <w:szCs w:val="22"/>
        </w:rPr>
        <w:t>Σ</w:t>
      </w:r>
      <w:r w:rsidRPr="00F43BDE">
        <w:rPr>
          <w:sz w:val="22"/>
          <w:szCs w:val="22"/>
        </w:rPr>
        <w:t>υνιστάται η χρήση γαντιών</w:t>
      </w:r>
      <w:r>
        <w:rPr>
          <w:sz w:val="22"/>
          <w:szCs w:val="22"/>
        </w:rPr>
        <w:t>.</w:t>
      </w:r>
    </w:p>
    <w:p w14:paraId="5E25AA78" w14:textId="77777777" w:rsidR="00F43BDE" w:rsidRDefault="00F43BDE" w:rsidP="00F43BDE">
      <w:pPr>
        <w:rPr>
          <w:sz w:val="22"/>
          <w:szCs w:val="22"/>
        </w:rPr>
      </w:pPr>
      <w:r>
        <w:rPr>
          <w:sz w:val="22"/>
          <w:szCs w:val="22"/>
          <w:u w:val="single"/>
        </w:rPr>
        <w:t>Οδηγίες χρήσης για εφαρμογή σε εξωτερικούς χώρους, περιμετρικά των κτιρίων</w:t>
      </w:r>
      <w:r w:rsidRPr="0035423E">
        <w:rPr>
          <w:sz w:val="22"/>
          <w:szCs w:val="22"/>
        </w:rPr>
        <w:t xml:space="preserve">: </w:t>
      </w:r>
    </w:p>
    <w:p w14:paraId="37551F32" w14:textId="60D53EA8" w:rsidR="00F43BDE" w:rsidRPr="006E199A" w:rsidRDefault="006E199A" w:rsidP="005446B1">
      <w:pPr>
        <w:autoSpaceDE w:val="0"/>
        <w:autoSpaceDN w:val="0"/>
        <w:adjustRightInd w:val="0"/>
        <w:rPr>
          <w:sz w:val="22"/>
          <w:szCs w:val="22"/>
          <w:lang w:eastAsia="el-GR"/>
        </w:rPr>
      </w:pPr>
      <w:r w:rsidRPr="006E199A">
        <w:rPr>
          <w:sz w:val="22"/>
          <w:szCs w:val="22"/>
        </w:rPr>
        <w:t xml:space="preserve">Τοποθετήστε τον δολωματικό σταθμό σε περιοχές που δεν υπόκεινται σε πλημμύρες. Αντικαταστήστε τα δολώματα που έχουν υποστεί ζημιά από το νερό ή έχουν μολυνθεί από βρωμιά. Οι δολωματικοί σταθμοί πρέπει να ελέγχονται 5-7 ημέρες μετά την έναρξη της θεραπείας και τουλάχιστον μία φορά την εβδομάδα στη συνέχεια ώστε να ελέγχεται αν το δόλωμα είναι αποδεκτό, για άθικτους δολωματικούς σταθμούς και για απομάκρυνση νεκρών τρωκτικών. Επαναγεμίστε τον δολωματικό σταθμό όταν χρειάζεται. </w:t>
      </w:r>
      <w:r>
        <w:rPr>
          <w:sz w:val="22"/>
          <w:szCs w:val="22"/>
        </w:rPr>
        <w:t>Σ</w:t>
      </w:r>
      <w:r w:rsidRPr="006E199A">
        <w:rPr>
          <w:sz w:val="22"/>
          <w:szCs w:val="22"/>
        </w:rPr>
        <w:t>υνιστάται η χρήση γαντιών</w:t>
      </w:r>
      <w:r>
        <w:rPr>
          <w:sz w:val="22"/>
          <w:szCs w:val="22"/>
        </w:rPr>
        <w:t>.</w:t>
      </w:r>
    </w:p>
    <w:p w14:paraId="1CAB89B7" w14:textId="7BCEFBF5" w:rsidR="00F43BDE" w:rsidRDefault="00F43BDE" w:rsidP="005446B1">
      <w:pPr>
        <w:autoSpaceDE w:val="0"/>
        <w:autoSpaceDN w:val="0"/>
        <w:adjustRightInd w:val="0"/>
        <w:rPr>
          <w:sz w:val="22"/>
          <w:szCs w:val="22"/>
          <w:lang w:eastAsia="el-GR"/>
        </w:rPr>
      </w:pPr>
    </w:p>
    <w:p w14:paraId="396FCDD0" w14:textId="77777777" w:rsidR="00F43BDE" w:rsidRDefault="00F43BDE" w:rsidP="00F43BDE">
      <w:pPr>
        <w:rPr>
          <w:b/>
          <w:sz w:val="22"/>
          <w:szCs w:val="22"/>
        </w:rPr>
      </w:pPr>
      <w:r w:rsidRPr="00751825">
        <w:rPr>
          <w:b/>
          <w:sz w:val="22"/>
          <w:szCs w:val="22"/>
          <w:u w:val="single"/>
        </w:rPr>
        <w:t>ΜΕΤΡΑ ΜΕΤΡΙΑΣΜΟΥ ΚΙΝΔΥΝΟΥ</w:t>
      </w:r>
      <w:r>
        <w:rPr>
          <w:b/>
          <w:sz w:val="22"/>
          <w:szCs w:val="22"/>
        </w:rPr>
        <w:t xml:space="preserve">: </w:t>
      </w:r>
    </w:p>
    <w:p w14:paraId="4EA4D4F9" w14:textId="61A479D7" w:rsidR="00F43BDE" w:rsidRPr="006E199A" w:rsidRDefault="006E199A" w:rsidP="005446B1">
      <w:pPr>
        <w:autoSpaceDE w:val="0"/>
        <w:autoSpaceDN w:val="0"/>
        <w:adjustRightInd w:val="0"/>
        <w:rPr>
          <w:sz w:val="22"/>
          <w:szCs w:val="22"/>
          <w:lang w:eastAsia="el-GR"/>
        </w:rPr>
      </w:pPr>
      <w:r w:rsidRPr="006E199A">
        <w:rPr>
          <w:sz w:val="22"/>
          <w:szCs w:val="22"/>
        </w:rPr>
        <w:t xml:space="preserve">Εφαρμόστε προληπτικά μέτρα ελέγχου (π.χ. στεγανοποιήστε τρύπες, αφαιρέστε τα τρόφιμα και τα ποτά όσο το δυνατόν περισσότερο) για να βελτιώσετε την πρόσληψη δολώματος και να μειώσετε </w:t>
      </w:r>
      <w:r w:rsidRPr="006E199A">
        <w:rPr>
          <w:sz w:val="22"/>
          <w:szCs w:val="22"/>
        </w:rPr>
        <w:lastRenderedPageBreak/>
        <w:t>την πιθανότητα εκ νέου εισβολής. Μην χρησιμοποιείτε το προϊόν ως μόνιμο δόλωμα για την πρόληψη της μόλυνσης από τρωκτικά ή για την ανίχνευση δραστηριότητας τρωκτικών. Οι πληροφορίες προϊόντος (π.χ. ετικέτα ή/και φυλλάδιο) πρέπει να αναφέρουν σαφώς: - Το προϊόν θα χρησιμοποιηθεί σε δολωματικούς σταθμούς ανθεκτικούς σε παραβίαση (π.χ.: "χρήση μόνο σε δολωματικούς σταθμούς ανθεκτικούς σε παραβίαση"). - Οι χρήστες πρέπει να επισημαίνουν επαρκώς τους δολωματικούς σταθμούς (π.χ.: «επισημάνετε τους δολωματικούς σύμφωνα με τις συστάσεις του προϊόντος»). Η χρήση αυτού του προϊόντος θα πρέπει να εξαλείψει τα τρωκτικά εντός 35 ημερών. Οι πληροφορίες προϊόντος (π.χ. ετικέτα και/ή φυλλάδιο) θα πρέπει να συνιστούν ότι σε περίπτωση υποψίας έλλειψης αποτελεσματικότητας στο τέλος της θεραπείας (π.χ. η δραστηριότητα τρωκτικών εξακολουθεί να παρατηρείται) ο χρήστης πρέπει να επικοινωνήσει με τον προμηθευτή του προϊόντος ή να καλέσει σε μια υπηρεσία ελέγχου παρασίτων. Βρείτε και αφαιρέστε τα νεκρά τρωκτικά κατά τη διάρκεια της θεραπείας, τουλάχιστον κάθε φορά που ελέγχονται οι δολωματικοί σταθμοί. Απορρίψτε τα νεκρά τρωκτικά ως επικίνδυνα απόβλητα σύμφωνα με τις δημοτικές διατάξεις.</w:t>
      </w:r>
    </w:p>
    <w:p w14:paraId="157E644E" w14:textId="77777777" w:rsidR="00F43BDE" w:rsidRDefault="00F43BDE" w:rsidP="005446B1">
      <w:pPr>
        <w:autoSpaceDE w:val="0"/>
        <w:autoSpaceDN w:val="0"/>
        <w:adjustRightInd w:val="0"/>
        <w:rPr>
          <w:sz w:val="22"/>
          <w:szCs w:val="22"/>
          <w:lang w:eastAsia="el-GR"/>
        </w:rPr>
      </w:pPr>
    </w:p>
    <w:p w14:paraId="35AB2AAD" w14:textId="77777777" w:rsidR="005D6DD8" w:rsidRPr="005D6DD8" w:rsidRDefault="005D6DD8" w:rsidP="005D6DD8">
      <w:pPr>
        <w:rPr>
          <w:b/>
          <w:caps/>
          <w:sz w:val="22"/>
          <w:szCs w:val="22"/>
        </w:rPr>
      </w:pPr>
      <w:r w:rsidRPr="005D6DD8">
        <w:rPr>
          <w:b/>
          <w:caps/>
          <w:sz w:val="22"/>
          <w:szCs w:val="22"/>
          <w:u w:val="single"/>
        </w:rPr>
        <w:t>Πιθανές άμεσες ή έμμεσες παρενέργειες, οδηγίες πρώτων βοηθειών και έκτακτα μέτρα προστασίας του περιβάλλοντος</w:t>
      </w:r>
      <w:r w:rsidRPr="005D6DD8">
        <w:rPr>
          <w:b/>
          <w:caps/>
          <w:sz w:val="22"/>
          <w:szCs w:val="22"/>
        </w:rPr>
        <w:t xml:space="preserve">: </w:t>
      </w:r>
    </w:p>
    <w:p w14:paraId="1D147841" w14:textId="77777777" w:rsidR="006E199A" w:rsidRDefault="006E199A" w:rsidP="006E199A">
      <w:pPr>
        <w:autoSpaceDE w:val="0"/>
        <w:autoSpaceDN w:val="0"/>
        <w:adjustRightInd w:val="0"/>
        <w:rPr>
          <w:sz w:val="22"/>
          <w:szCs w:val="22"/>
        </w:rPr>
      </w:pPr>
      <w:r w:rsidRPr="004C7BD3">
        <w:rPr>
          <w:sz w:val="22"/>
          <w:szCs w:val="22"/>
        </w:rPr>
        <w:t xml:space="preserve">Αυτό το προϊόν περιέχει μια αντιπηκτική ουσία. Σε περίπτωση κατάποσης, τα συμπτώματα μπορεί να γίνουν εμφανή μέσα σε 72 ώρες. Οι κλινικές εκδηλώσεις μπορεί να περιλαμβάνουν αιμορραγία από τη μύτη και τα ούλα. Σε σοβαρές περιπτώσεις, μπορεί να υπάρχουν μώλωπες και αίμα στα κόπρανα ή στα ούρα. </w:t>
      </w:r>
    </w:p>
    <w:p w14:paraId="3556147B" w14:textId="77777777" w:rsidR="006E199A" w:rsidRDefault="006E199A" w:rsidP="006E199A">
      <w:pPr>
        <w:autoSpaceDE w:val="0"/>
        <w:autoSpaceDN w:val="0"/>
        <w:adjustRightInd w:val="0"/>
        <w:rPr>
          <w:sz w:val="22"/>
          <w:szCs w:val="22"/>
        </w:rPr>
      </w:pPr>
      <w:r w:rsidRPr="004C7BD3">
        <w:rPr>
          <w:b/>
          <w:bCs/>
          <w:sz w:val="22"/>
          <w:szCs w:val="22"/>
        </w:rPr>
        <w:t>Αντίδοτο:</w:t>
      </w:r>
      <w:r w:rsidRPr="004C7BD3">
        <w:rPr>
          <w:sz w:val="22"/>
          <w:szCs w:val="22"/>
        </w:rPr>
        <w:t xml:space="preserve"> Η βιταμίνη Κ1 χορηγείται μόνο από ιατρικό/κτηνιατρικό προσωπικό. </w:t>
      </w:r>
    </w:p>
    <w:p w14:paraId="425C755F" w14:textId="77777777" w:rsidR="006E199A" w:rsidRDefault="006E199A" w:rsidP="006E199A">
      <w:pPr>
        <w:autoSpaceDE w:val="0"/>
        <w:autoSpaceDN w:val="0"/>
        <w:adjustRightInd w:val="0"/>
        <w:rPr>
          <w:sz w:val="22"/>
          <w:szCs w:val="22"/>
        </w:rPr>
      </w:pPr>
      <w:r w:rsidRPr="004C7BD3">
        <w:rPr>
          <w:sz w:val="22"/>
          <w:szCs w:val="22"/>
        </w:rPr>
        <w:t xml:space="preserve">Σε περίπτωση : - </w:t>
      </w:r>
      <w:r w:rsidRPr="004C7BD3">
        <w:rPr>
          <w:sz w:val="22"/>
          <w:szCs w:val="22"/>
          <w:u w:val="single"/>
        </w:rPr>
        <w:t>Δερματικής έκθεσης</w:t>
      </w:r>
      <w:r w:rsidRPr="004C7BD3">
        <w:rPr>
          <w:sz w:val="22"/>
          <w:szCs w:val="22"/>
        </w:rPr>
        <w:t xml:space="preserve">, πλύνετε το δέρμα με νερό και στη συνέχεια με σαπούνι και νερό. - </w:t>
      </w:r>
      <w:r w:rsidRPr="004C7BD3">
        <w:rPr>
          <w:sz w:val="22"/>
          <w:szCs w:val="22"/>
          <w:u w:val="single"/>
        </w:rPr>
        <w:t>οφθαλμικής έκθεσης</w:t>
      </w:r>
      <w:r w:rsidRPr="004C7BD3">
        <w:rPr>
          <w:sz w:val="22"/>
          <w:szCs w:val="22"/>
        </w:rPr>
        <w:t xml:space="preserve">, ελέγχετε πάντα αν υπάρχουν φακοί επαφής και αφαιρέστε τους, ξεπλύνετε τα μάτια με υγρό για τα μάτια ή νερό, κρατήστε τα μάτια ανοιχτά για τουλάχιστον 10 λεπτά. - </w:t>
      </w:r>
      <w:r w:rsidRPr="004C7BD3">
        <w:rPr>
          <w:sz w:val="22"/>
          <w:szCs w:val="22"/>
          <w:u w:val="single"/>
        </w:rPr>
        <w:t>στοματικής έκθεσης</w:t>
      </w:r>
      <w:r w:rsidRPr="004C7BD3">
        <w:rPr>
          <w:sz w:val="22"/>
          <w:szCs w:val="22"/>
        </w:rPr>
        <w:t xml:space="preserve">, ξεπλύνετε το στόμα προσεκτικά με νερό. Μη δίνετε τίποτα από το στόμα σε αναίσθητο άτομο. Μην προκαλείτε εμετό. Σε περίπτωση κατάποσης, ζητήστε ιατρική συμβουλή, κρατήστε την ετικέτα ή το δοχείο κοντά σας. Επικοινωνήστε με έναν κτηνίατρο σε περίπτωση κατάποσης από κατοικίδιο. </w:t>
      </w:r>
    </w:p>
    <w:p w14:paraId="700F8A50" w14:textId="77777777" w:rsidR="006E199A" w:rsidRDefault="006E199A" w:rsidP="006E199A">
      <w:pPr>
        <w:autoSpaceDE w:val="0"/>
        <w:autoSpaceDN w:val="0"/>
        <w:adjustRightInd w:val="0"/>
        <w:rPr>
          <w:sz w:val="22"/>
          <w:szCs w:val="22"/>
        </w:rPr>
      </w:pPr>
      <w:r w:rsidRPr="004C7BD3">
        <w:rPr>
          <w:sz w:val="22"/>
          <w:szCs w:val="22"/>
        </w:rPr>
        <w:t xml:space="preserve">Οι δολωματικοί σταθμοί πρέπει να φέρουν την σήμανση με τις ακόλουθες πληροφορίες: "μην μετακινείτε και μην ανοίγετε". «περιέχει τρωκτικοκτόνο»· «όνομα προϊόντος ή αριθμός εξουσιοδότησης»· «δραστική ουσία(ές)»· «σε περίπτωση ατυχήματος τηλεφωνήστε στο κέντρο δηλητηριάσεων [Τηλέφωνο κέντρου δηλητηριάσεων 210 77 93 777.]». </w:t>
      </w:r>
    </w:p>
    <w:p w14:paraId="1F39FFDF" w14:textId="77777777" w:rsidR="006E199A" w:rsidRPr="004C7BD3" w:rsidRDefault="006E199A" w:rsidP="006E199A">
      <w:pPr>
        <w:autoSpaceDE w:val="0"/>
        <w:autoSpaceDN w:val="0"/>
        <w:adjustRightInd w:val="0"/>
        <w:rPr>
          <w:b/>
          <w:bCs/>
          <w:sz w:val="22"/>
          <w:szCs w:val="22"/>
          <w:lang w:eastAsia="el-GR"/>
        </w:rPr>
      </w:pPr>
      <w:r w:rsidRPr="004C7BD3">
        <w:rPr>
          <w:b/>
          <w:bCs/>
          <w:sz w:val="22"/>
          <w:szCs w:val="22"/>
        </w:rPr>
        <w:t>Τηλ Κέντρου Δηλητηριάσεων:2107793777</w:t>
      </w:r>
    </w:p>
    <w:p w14:paraId="2416E323" w14:textId="77777777" w:rsidR="006E199A" w:rsidRPr="002B53E1" w:rsidRDefault="006E199A" w:rsidP="005D6DD8">
      <w:pPr>
        <w:autoSpaceDE w:val="0"/>
        <w:autoSpaceDN w:val="0"/>
        <w:adjustRightInd w:val="0"/>
        <w:rPr>
          <w:sz w:val="22"/>
          <w:szCs w:val="22"/>
        </w:rPr>
      </w:pPr>
    </w:p>
    <w:p w14:paraId="78107B1F" w14:textId="77777777" w:rsidR="002B53E1" w:rsidRPr="006E199A" w:rsidRDefault="002B53E1" w:rsidP="002B53E1">
      <w:pPr>
        <w:rPr>
          <w:b/>
          <w:bCs/>
          <w:sz w:val="22"/>
          <w:szCs w:val="22"/>
        </w:rPr>
      </w:pPr>
      <w:r w:rsidRPr="006E199A">
        <w:rPr>
          <w:b/>
          <w:bCs/>
          <w:sz w:val="22"/>
          <w:szCs w:val="22"/>
          <w:u w:val="single"/>
        </w:rPr>
        <w:t>Οδηγίες για την ασφαλή διάθεση του προϊόντος και της συσκευασίας του</w:t>
      </w:r>
      <w:r w:rsidRPr="006E199A">
        <w:rPr>
          <w:b/>
          <w:bCs/>
          <w:sz w:val="22"/>
          <w:szCs w:val="22"/>
        </w:rPr>
        <w:t xml:space="preserve">: </w:t>
      </w:r>
    </w:p>
    <w:p w14:paraId="56968E2B" w14:textId="1A01A0D2" w:rsidR="006E199A" w:rsidRPr="006E199A" w:rsidRDefault="006E199A" w:rsidP="002B53E1">
      <w:pPr>
        <w:autoSpaceDE w:val="0"/>
        <w:autoSpaceDN w:val="0"/>
        <w:adjustRightInd w:val="0"/>
        <w:rPr>
          <w:sz w:val="22"/>
          <w:szCs w:val="22"/>
        </w:rPr>
      </w:pPr>
      <w:r>
        <w:rPr>
          <w:sz w:val="22"/>
          <w:szCs w:val="22"/>
        </w:rPr>
        <w:t>Σ</w:t>
      </w:r>
      <w:r w:rsidRPr="006E199A">
        <w:rPr>
          <w:sz w:val="22"/>
          <w:szCs w:val="22"/>
        </w:rPr>
        <w:t>υνιστάται η χρήση γαντιών. Στο τέλος της επεξεργασίας, απορρίψτε το μη καταναλωμένο δόλωμα και τη συσκευασία του προϊόντος ως επικίνδυνα απόβλητα σύμφωνα με τους ισχύοντες κανονισμούς. Στην ετικέτα των κατόχων δολωμάτων αναγράφονται τα ακόλουθα:</w:t>
      </w:r>
      <w:r w:rsidRPr="006E199A">
        <w:rPr>
          <w:sz w:val="22"/>
          <w:szCs w:val="22"/>
        </w:rPr>
        <w:t xml:space="preserve"> </w:t>
      </w:r>
      <w:r w:rsidRPr="006E199A">
        <w:rPr>
          <w:sz w:val="22"/>
          <w:szCs w:val="22"/>
        </w:rPr>
        <w:t>Απορρίψτε τους δολωματικούς σταθμούς, στο τέλος της ωφέλιμης ζωής τους, ως επικίνδυνα απόβλητα σύμφωνα με τις διατάξεις των δημοτικών διατάξεων.</w:t>
      </w:r>
    </w:p>
    <w:p w14:paraId="1274ED69" w14:textId="77777777" w:rsidR="006E199A" w:rsidRDefault="006E199A" w:rsidP="002B53E1">
      <w:pPr>
        <w:autoSpaceDE w:val="0"/>
        <w:autoSpaceDN w:val="0"/>
        <w:adjustRightInd w:val="0"/>
        <w:rPr>
          <w:sz w:val="22"/>
          <w:szCs w:val="22"/>
          <w:lang w:eastAsia="el-GR"/>
        </w:rPr>
      </w:pPr>
    </w:p>
    <w:p w14:paraId="3E25A22D" w14:textId="77777777" w:rsidR="006E199A" w:rsidRPr="00CA331E" w:rsidRDefault="006E199A" w:rsidP="006E199A">
      <w:pPr>
        <w:rPr>
          <w:b/>
          <w:bCs/>
          <w:sz w:val="22"/>
          <w:szCs w:val="22"/>
        </w:rPr>
      </w:pPr>
      <w:r w:rsidRPr="00CA331E">
        <w:rPr>
          <w:b/>
          <w:bCs/>
          <w:sz w:val="22"/>
          <w:szCs w:val="22"/>
          <w:u w:val="single"/>
        </w:rPr>
        <w:t>Συνθήκες αποθήκευσης και χρόνος ζωής του προϊόντος υπό κανονικές συνθήκες αποθήκευσης</w:t>
      </w:r>
      <w:r w:rsidRPr="00CA331E">
        <w:rPr>
          <w:b/>
          <w:bCs/>
          <w:sz w:val="22"/>
          <w:szCs w:val="22"/>
        </w:rPr>
        <w:t xml:space="preserve">: </w:t>
      </w:r>
    </w:p>
    <w:p w14:paraId="44CB5FC1" w14:textId="77777777" w:rsidR="006E199A" w:rsidRDefault="006E199A" w:rsidP="006E199A">
      <w:pPr>
        <w:autoSpaceDE w:val="0"/>
        <w:autoSpaceDN w:val="0"/>
        <w:adjustRightInd w:val="0"/>
        <w:rPr>
          <w:sz w:val="22"/>
          <w:szCs w:val="22"/>
        </w:rPr>
      </w:pPr>
      <w:r w:rsidRPr="00CA331E">
        <w:rPr>
          <w:sz w:val="22"/>
          <w:szCs w:val="22"/>
        </w:rPr>
        <w:t xml:space="preserve">Φυλάσσεται σε ξηρό, δροσερό και καλά αεριζόμενο μέρος. Διατηρείτε το δοχείο κλειστό και μακριά από το φως. Να φυλάσσεται μακριά από παιδιά, πουλιά, κατοικίδια και ζώα φάρμας. </w:t>
      </w:r>
    </w:p>
    <w:p w14:paraId="49254CEC" w14:textId="77777777" w:rsidR="006E199A" w:rsidRPr="00CA331E" w:rsidRDefault="006E199A" w:rsidP="006E199A">
      <w:pPr>
        <w:autoSpaceDE w:val="0"/>
        <w:autoSpaceDN w:val="0"/>
        <w:adjustRightInd w:val="0"/>
        <w:rPr>
          <w:sz w:val="22"/>
          <w:szCs w:val="22"/>
          <w:lang w:eastAsia="el-GR"/>
        </w:rPr>
      </w:pPr>
      <w:r w:rsidRPr="00CA331E">
        <w:rPr>
          <w:sz w:val="22"/>
          <w:szCs w:val="22"/>
        </w:rPr>
        <w:t>Το προϊόν είναι σταθερό για 2 χρόνια.</w:t>
      </w:r>
    </w:p>
    <w:p w14:paraId="3704E376" w14:textId="77777777" w:rsidR="006E199A" w:rsidRDefault="006E199A" w:rsidP="006E199A">
      <w:pPr>
        <w:autoSpaceDE w:val="0"/>
        <w:autoSpaceDN w:val="0"/>
        <w:adjustRightInd w:val="0"/>
        <w:rPr>
          <w:sz w:val="22"/>
          <w:szCs w:val="22"/>
          <w:lang w:eastAsia="el-GR"/>
        </w:rPr>
      </w:pPr>
    </w:p>
    <w:p w14:paraId="5196E4A8" w14:textId="77777777" w:rsidR="006E199A" w:rsidRPr="00CA331E" w:rsidRDefault="006E199A" w:rsidP="006E199A">
      <w:pPr>
        <w:rPr>
          <w:b/>
          <w:bCs/>
          <w:sz w:val="22"/>
          <w:szCs w:val="22"/>
        </w:rPr>
      </w:pPr>
      <w:r w:rsidRPr="00CA331E">
        <w:rPr>
          <w:b/>
          <w:bCs/>
          <w:sz w:val="22"/>
          <w:szCs w:val="22"/>
          <w:u w:val="single"/>
        </w:rPr>
        <w:t>Άλλες πληροφορίες</w:t>
      </w:r>
      <w:r w:rsidRPr="00CA331E">
        <w:rPr>
          <w:b/>
          <w:bCs/>
          <w:sz w:val="22"/>
          <w:szCs w:val="22"/>
        </w:rPr>
        <w:t xml:space="preserve">: </w:t>
      </w:r>
    </w:p>
    <w:p w14:paraId="24CEE31D" w14:textId="77777777" w:rsidR="006E199A" w:rsidRPr="00CA331E" w:rsidRDefault="006E199A" w:rsidP="006E199A">
      <w:pPr>
        <w:autoSpaceDE w:val="0"/>
        <w:autoSpaceDN w:val="0"/>
        <w:adjustRightInd w:val="0"/>
        <w:rPr>
          <w:sz w:val="22"/>
          <w:szCs w:val="22"/>
          <w:lang w:eastAsia="el-GR"/>
        </w:rPr>
      </w:pPr>
      <w:r w:rsidRPr="00CA331E">
        <w:rPr>
          <w:sz w:val="22"/>
          <w:szCs w:val="22"/>
        </w:rPr>
        <w:t>Λόγω του καθυστερημένου τρόπου δράσης, τα αντιπηκτικά τρωκτικοκτόνα μπορεί να χρειαστούν 4-10 ημέρες για να γίνουν αποτελεσματικά μετά την κατανάλωση δολώματος. Τα τρωκτικά μπορεί είναι φορείς ασθενειών. Μην αγγίζετε νεκρά τρωκτικά με γυμνά χέρια, χρησιμοποιήστε γάντια ή σκεύη όπως τσιμπιδάκια όταν τα απορρίπτετε. Αυτό το προϊόν περιέχει έναν πικραντικό παράγοντα και μια χρωστική.</w:t>
      </w:r>
    </w:p>
    <w:p w14:paraId="4632A0D6" w14:textId="77777777" w:rsidR="006E199A" w:rsidRDefault="006E199A" w:rsidP="007219C6">
      <w:pPr>
        <w:jc w:val="both"/>
        <w:rPr>
          <w:sz w:val="22"/>
          <w:szCs w:val="22"/>
        </w:rPr>
      </w:pPr>
    </w:p>
    <w:p w14:paraId="18B74087" w14:textId="61925779" w:rsidR="007219C6" w:rsidRPr="00F43BDE" w:rsidRDefault="007219C6" w:rsidP="007219C6">
      <w:pPr>
        <w:jc w:val="both"/>
        <w:rPr>
          <w:sz w:val="22"/>
          <w:szCs w:val="22"/>
        </w:rPr>
      </w:pPr>
      <w:r w:rsidRPr="00363F42">
        <w:rPr>
          <w:sz w:val="22"/>
          <w:szCs w:val="22"/>
        </w:rPr>
        <w:lastRenderedPageBreak/>
        <w:t>Ημερομηνία Παραγωγής (</w:t>
      </w:r>
      <w:r w:rsidRPr="00363F42">
        <w:rPr>
          <w:sz w:val="22"/>
          <w:szCs w:val="22"/>
          <w:lang w:val="en-US"/>
        </w:rPr>
        <w:t>Prod</w:t>
      </w:r>
      <w:r w:rsidRPr="00363F42">
        <w:rPr>
          <w:sz w:val="22"/>
          <w:szCs w:val="22"/>
        </w:rPr>
        <w:t xml:space="preserve">. </w:t>
      </w:r>
      <w:r w:rsidRPr="00363F42">
        <w:rPr>
          <w:sz w:val="22"/>
          <w:szCs w:val="22"/>
          <w:lang w:val="en-US"/>
        </w:rPr>
        <w:t>Date</w:t>
      </w:r>
      <w:r w:rsidRPr="00F43BDE">
        <w:rPr>
          <w:sz w:val="22"/>
          <w:szCs w:val="22"/>
        </w:rPr>
        <w:t>):</w:t>
      </w:r>
      <w:r w:rsidRPr="00F43BDE">
        <w:rPr>
          <w:sz w:val="22"/>
          <w:szCs w:val="22"/>
        </w:rPr>
        <w:tab/>
      </w:r>
      <w:r w:rsidRPr="00F43BDE">
        <w:rPr>
          <w:sz w:val="22"/>
          <w:szCs w:val="22"/>
        </w:rPr>
        <w:tab/>
        <w:t xml:space="preserve">       </w:t>
      </w:r>
      <w:r w:rsidR="00F9695B">
        <w:rPr>
          <w:sz w:val="22"/>
          <w:szCs w:val="22"/>
        </w:rPr>
        <w:t>Βλέπε</w:t>
      </w:r>
      <w:r w:rsidR="00F9695B" w:rsidRPr="00F43BDE">
        <w:rPr>
          <w:sz w:val="22"/>
          <w:szCs w:val="22"/>
        </w:rPr>
        <w:t xml:space="preserve"> </w:t>
      </w:r>
      <w:r w:rsidR="00F9695B">
        <w:rPr>
          <w:sz w:val="22"/>
          <w:szCs w:val="22"/>
        </w:rPr>
        <w:t>σφραγίδα</w:t>
      </w:r>
      <w:r w:rsidR="00F9695B" w:rsidRPr="00F43BDE">
        <w:rPr>
          <w:sz w:val="22"/>
          <w:szCs w:val="22"/>
        </w:rPr>
        <w:t xml:space="preserve"> (</w:t>
      </w:r>
      <w:r w:rsidR="00F9695B">
        <w:rPr>
          <w:sz w:val="22"/>
          <w:szCs w:val="22"/>
          <w:lang w:val="en-US"/>
        </w:rPr>
        <w:t>see</w:t>
      </w:r>
      <w:r w:rsidR="00F9695B" w:rsidRPr="00F43BDE">
        <w:rPr>
          <w:sz w:val="22"/>
          <w:szCs w:val="22"/>
        </w:rPr>
        <w:t xml:space="preserve"> </w:t>
      </w:r>
      <w:r w:rsidR="00F9695B">
        <w:rPr>
          <w:sz w:val="22"/>
          <w:szCs w:val="22"/>
          <w:lang w:val="en-US"/>
        </w:rPr>
        <w:t>stamp</w:t>
      </w:r>
      <w:r w:rsidR="00F9695B" w:rsidRPr="00F43BDE">
        <w:rPr>
          <w:sz w:val="22"/>
          <w:szCs w:val="22"/>
        </w:rPr>
        <w:t>)</w:t>
      </w:r>
    </w:p>
    <w:p w14:paraId="49332766" w14:textId="7E5CC595" w:rsidR="007219C6" w:rsidRPr="00363F42" w:rsidRDefault="007219C6" w:rsidP="007219C6">
      <w:pPr>
        <w:jc w:val="both"/>
        <w:rPr>
          <w:sz w:val="22"/>
          <w:szCs w:val="22"/>
        </w:rPr>
      </w:pPr>
      <w:r w:rsidRPr="00363F42">
        <w:rPr>
          <w:sz w:val="22"/>
          <w:szCs w:val="22"/>
        </w:rPr>
        <w:t>Αριθμός Παρτίδας (</w:t>
      </w:r>
      <w:r w:rsidRPr="00363F42">
        <w:rPr>
          <w:sz w:val="22"/>
          <w:szCs w:val="22"/>
          <w:lang w:val="en-US"/>
        </w:rPr>
        <w:t>Lot</w:t>
      </w:r>
      <w:r w:rsidRPr="00363F42">
        <w:rPr>
          <w:sz w:val="22"/>
          <w:szCs w:val="22"/>
        </w:rPr>
        <w:t xml:space="preserve"> </w:t>
      </w:r>
      <w:r w:rsidRPr="00363F42">
        <w:rPr>
          <w:sz w:val="22"/>
          <w:szCs w:val="22"/>
          <w:lang w:val="en-US"/>
        </w:rPr>
        <w:t>No</w:t>
      </w:r>
      <w:r w:rsidRPr="00363F42">
        <w:rPr>
          <w:sz w:val="22"/>
          <w:szCs w:val="22"/>
        </w:rPr>
        <w:t>.):</w:t>
      </w:r>
      <w:r w:rsidRPr="00363F42">
        <w:rPr>
          <w:sz w:val="22"/>
          <w:szCs w:val="22"/>
        </w:rPr>
        <w:tab/>
      </w:r>
      <w:r w:rsidRPr="00363F42">
        <w:rPr>
          <w:sz w:val="22"/>
          <w:szCs w:val="22"/>
        </w:rPr>
        <w:tab/>
      </w:r>
      <w:r w:rsidRPr="00363F42">
        <w:rPr>
          <w:sz w:val="22"/>
          <w:szCs w:val="22"/>
        </w:rPr>
        <w:tab/>
      </w:r>
      <w:r w:rsidRPr="00363F42">
        <w:rPr>
          <w:sz w:val="22"/>
          <w:szCs w:val="22"/>
        </w:rPr>
        <w:tab/>
      </w:r>
    </w:p>
    <w:p w14:paraId="4A7B6246" w14:textId="77777777" w:rsidR="007219C6" w:rsidRPr="00363F42" w:rsidRDefault="007219C6" w:rsidP="007219C6">
      <w:pPr>
        <w:pStyle w:val="2"/>
        <w:spacing w:after="0" w:line="240" w:lineRule="auto"/>
        <w:ind w:left="0"/>
        <w:jc w:val="both"/>
        <w:rPr>
          <w:sz w:val="22"/>
          <w:szCs w:val="22"/>
        </w:rPr>
      </w:pPr>
    </w:p>
    <w:p w14:paraId="7A75F8AF" w14:textId="37DAEF98" w:rsidR="00CB374F" w:rsidRPr="008A4B7E" w:rsidRDefault="00CB374F" w:rsidP="008A4B7E">
      <w:pPr>
        <w:rPr>
          <w:b/>
          <w:sz w:val="22"/>
          <w:szCs w:val="22"/>
        </w:rPr>
      </w:pPr>
      <w:r w:rsidRPr="008A4B7E">
        <w:rPr>
          <w:b/>
          <w:sz w:val="22"/>
          <w:szCs w:val="22"/>
        </w:rPr>
        <w:t>Καθαρό βάρος (</w:t>
      </w:r>
      <w:r w:rsidRPr="008A4B7E">
        <w:rPr>
          <w:b/>
          <w:sz w:val="22"/>
          <w:szCs w:val="22"/>
          <w:lang w:val="en-US"/>
        </w:rPr>
        <w:t>Net</w:t>
      </w:r>
      <w:r w:rsidRPr="008A4B7E">
        <w:rPr>
          <w:b/>
          <w:sz w:val="22"/>
          <w:szCs w:val="22"/>
        </w:rPr>
        <w:t xml:space="preserve"> </w:t>
      </w:r>
      <w:r w:rsidRPr="008A4B7E">
        <w:rPr>
          <w:b/>
          <w:sz w:val="22"/>
          <w:szCs w:val="22"/>
          <w:lang w:val="en-US"/>
        </w:rPr>
        <w:t>weight</w:t>
      </w:r>
      <w:r w:rsidRPr="008A4B7E">
        <w:rPr>
          <w:b/>
          <w:sz w:val="22"/>
          <w:szCs w:val="22"/>
        </w:rPr>
        <w:t>):</w:t>
      </w:r>
      <w:r w:rsidRPr="008A4B7E">
        <w:rPr>
          <w:sz w:val="22"/>
          <w:szCs w:val="22"/>
        </w:rPr>
        <w:t xml:space="preserve"> </w:t>
      </w:r>
      <w:r w:rsidR="00AB72BE" w:rsidRPr="00AF2473">
        <w:rPr>
          <w:b/>
          <w:highlight w:val="yellow"/>
        </w:rPr>
        <w:t>1</w:t>
      </w:r>
      <w:r w:rsidR="00B075A2" w:rsidRPr="00B03F13">
        <w:rPr>
          <w:b/>
          <w:highlight w:val="yellow"/>
        </w:rPr>
        <w:t>0</w:t>
      </w:r>
      <w:r w:rsidR="00AB72BE" w:rsidRPr="00AF2473">
        <w:rPr>
          <w:b/>
          <w:highlight w:val="yellow"/>
        </w:rPr>
        <w:t>0</w:t>
      </w:r>
      <w:r w:rsidRPr="008A4B7E">
        <w:rPr>
          <w:b/>
          <w:sz w:val="22"/>
          <w:szCs w:val="22"/>
        </w:rPr>
        <w:t xml:space="preserve">  </w:t>
      </w:r>
      <w:r w:rsidR="00AB72BE">
        <w:rPr>
          <w:b/>
          <w:sz w:val="22"/>
          <w:szCs w:val="22"/>
        </w:rPr>
        <w:t>ΓΡΑΜ.</w:t>
      </w:r>
      <w:r w:rsidRPr="008A4B7E">
        <w:rPr>
          <w:b/>
          <w:sz w:val="22"/>
          <w:szCs w:val="22"/>
        </w:rPr>
        <w:t xml:space="preserve"> (</w:t>
      </w:r>
      <w:r w:rsidRPr="008A4B7E">
        <w:rPr>
          <w:b/>
          <w:sz w:val="22"/>
          <w:szCs w:val="22"/>
          <w:lang w:val="en-US"/>
        </w:rPr>
        <w:t>g</w:t>
      </w:r>
      <w:r w:rsidRPr="008A4B7E">
        <w:rPr>
          <w:b/>
          <w:sz w:val="22"/>
          <w:szCs w:val="22"/>
        </w:rPr>
        <w:t>).</w:t>
      </w:r>
    </w:p>
    <w:p w14:paraId="1AD248F0" w14:textId="4F2B5FB0" w:rsidR="00CB374F" w:rsidRPr="008A4B7E" w:rsidRDefault="00CB374F" w:rsidP="008A4B7E">
      <w:pPr>
        <w:rPr>
          <w:b/>
          <w:sz w:val="22"/>
          <w:szCs w:val="22"/>
        </w:rPr>
      </w:pPr>
      <w:r w:rsidRPr="008A4B7E">
        <w:rPr>
          <w:b/>
          <w:sz w:val="22"/>
          <w:szCs w:val="22"/>
        </w:rPr>
        <w:t>(πε</w:t>
      </w:r>
      <w:r w:rsidR="008A4B7E">
        <w:rPr>
          <w:b/>
          <w:sz w:val="22"/>
          <w:szCs w:val="22"/>
        </w:rPr>
        <w:t>ριέχει δολώματα/</w:t>
      </w:r>
      <w:r w:rsidR="00AB72BE">
        <w:rPr>
          <w:b/>
          <w:sz w:val="22"/>
          <w:szCs w:val="22"/>
        </w:rPr>
        <w:t>σακουλάκια</w:t>
      </w:r>
      <w:r w:rsidR="008A4B7E">
        <w:rPr>
          <w:b/>
          <w:sz w:val="22"/>
          <w:szCs w:val="22"/>
        </w:rPr>
        <w:t xml:space="preserve"> των </w:t>
      </w:r>
      <w:r w:rsidR="00B03F13">
        <w:rPr>
          <w:b/>
          <w:sz w:val="22"/>
          <w:szCs w:val="22"/>
        </w:rPr>
        <w:t>25</w:t>
      </w:r>
      <w:r w:rsidRPr="008A4B7E">
        <w:rPr>
          <w:b/>
          <w:sz w:val="22"/>
          <w:szCs w:val="22"/>
        </w:rPr>
        <w:t xml:space="preserve"> γραμμαρίων)</w:t>
      </w:r>
    </w:p>
    <w:p w14:paraId="504ABE73" w14:textId="77777777" w:rsidR="007219C6" w:rsidRPr="004C63A7" w:rsidRDefault="007219C6" w:rsidP="007219C6">
      <w:pPr>
        <w:pStyle w:val="a3"/>
        <w:rPr>
          <w:rFonts w:ascii="Times New Roman" w:hAnsi="Times New Roman"/>
          <w:b/>
          <w:sz w:val="22"/>
          <w:szCs w:val="22"/>
        </w:rPr>
      </w:pPr>
    </w:p>
    <w:sectPr w:rsidR="007219C6" w:rsidRPr="004C63A7" w:rsidSect="00EE3CAE">
      <w:pgSz w:w="11906" w:h="16838"/>
      <w:pgMar w:top="1440" w:right="1286"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C0EB7"/>
    <w:multiLevelType w:val="singleLevel"/>
    <w:tmpl w:val="0C09000F"/>
    <w:lvl w:ilvl="0">
      <w:start w:val="1"/>
      <w:numFmt w:val="decimal"/>
      <w:lvlText w:val="%1."/>
      <w:lvlJc w:val="left"/>
      <w:pPr>
        <w:tabs>
          <w:tab w:val="num" w:pos="360"/>
        </w:tabs>
        <w:ind w:left="360" w:hanging="360"/>
      </w:pPr>
      <w:rPr>
        <w:rFonts w:hint="default"/>
      </w:rPr>
    </w:lvl>
  </w:abstractNum>
  <w:abstractNum w:abstractNumId="1" w15:restartNumberingAfterBreak="0">
    <w:nsid w:val="63DF32ED"/>
    <w:multiLevelType w:val="hybridMultilevel"/>
    <w:tmpl w:val="B23AEB6A"/>
    <w:lvl w:ilvl="0" w:tplc="99ACEE8E">
      <w:start w:val="3"/>
      <w:numFmt w:val="bullet"/>
      <w:lvlText w:val="-"/>
      <w:lvlJc w:val="left"/>
      <w:pPr>
        <w:tabs>
          <w:tab w:val="num" w:pos="2211"/>
        </w:tabs>
        <w:ind w:left="2211" w:hanging="360"/>
      </w:pPr>
      <w:rPr>
        <w:rFonts w:ascii="Courier New" w:hAnsi="Courier New" w:hint="default"/>
      </w:rPr>
    </w:lvl>
    <w:lvl w:ilvl="1" w:tplc="04080003" w:tentative="1">
      <w:start w:val="1"/>
      <w:numFmt w:val="bullet"/>
      <w:lvlText w:val="o"/>
      <w:lvlJc w:val="left"/>
      <w:pPr>
        <w:tabs>
          <w:tab w:val="num" w:pos="1866"/>
        </w:tabs>
        <w:ind w:left="1866" w:hanging="360"/>
      </w:pPr>
      <w:rPr>
        <w:rFonts w:ascii="Courier New" w:hAnsi="Courier New" w:cs="Courier New" w:hint="default"/>
      </w:rPr>
    </w:lvl>
    <w:lvl w:ilvl="2" w:tplc="04080005" w:tentative="1">
      <w:start w:val="1"/>
      <w:numFmt w:val="bullet"/>
      <w:lvlText w:val=""/>
      <w:lvlJc w:val="left"/>
      <w:pPr>
        <w:tabs>
          <w:tab w:val="num" w:pos="2586"/>
        </w:tabs>
        <w:ind w:left="2586" w:hanging="360"/>
      </w:pPr>
      <w:rPr>
        <w:rFonts w:ascii="Wingdings" w:hAnsi="Wingdings" w:hint="default"/>
      </w:rPr>
    </w:lvl>
    <w:lvl w:ilvl="3" w:tplc="04080001" w:tentative="1">
      <w:start w:val="1"/>
      <w:numFmt w:val="bullet"/>
      <w:lvlText w:val=""/>
      <w:lvlJc w:val="left"/>
      <w:pPr>
        <w:tabs>
          <w:tab w:val="num" w:pos="3306"/>
        </w:tabs>
        <w:ind w:left="3306" w:hanging="360"/>
      </w:pPr>
      <w:rPr>
        <w:rFonts w:ascii="Symbol" w:hAnsi="Symbol" w:hint="default"/>
      </w:rPr>
    </w:lvl>
    <w:lvl w:ilvl="4" w:tplc="04080003" w:tentative="1">
      <w:start w:val="1"/>
      <w:numFmt w:val="bullet"/>
      <w:lvlText w:val="o"/>
      <w:lvlJc w:val="left"/>
      <w:pPr>
        <w:tabs>
          <w:tab w:val="num" w:pos="4026"/>
        </w:tabs>
        <w:ind w:left="4026" w:hanging="360"/>
      </w:pPr>
      <w:rPr>
        <w:rFonts w:ascii="Courier New" w:hAnsi="Courier New" w:cs="Courier New" w:hint="default"/>
      </w:rPr>
    </w:lvl>
    <w:lvl w:ilvl="5" w:tplc="04080005" w:tentative="1">
      <w:start w:val="1"/>
      <w:numFmt w:val="bullet"/>
      <w:lvlText w:val=""/>
      <w:lvlJc w:val="left"/>
      <w:pPr>
        <w:tabs>
          <w:tab w:val="num" w:pos="4746"/>
        </w:tabs>
        <w:ind w:left="4746" w:hanging="360"/>
      </w:pPr>
      <w:rPr>
        <w:rFonts w:ascii="Wingdings" w:hAnsi="Wingdings" w:hint="default"/>
      </w:rPr>
    </w:lvl>
    <w:lvl w:ilvl="6" w:tplc="04080001" w:tentative="1">
      <w:start w:val="1"/>
      <w:numFmt w:val="bullet"/>
      <w:lvlText w:val=""/>
      <w:lvlJc w:val="left"/>
      <w:pPr>
        <w:tabs>
          <w:tab w:val="num" w:pos="5466"/>
        </w:tabs>
        <w:ind w:left="5466" w:hanging="360"/>
      </w:pPr>
      <w:rPr>
        <w:rFonts w:ascii="Symbol" w:hAnsi="Symbol" w:hint="default"/>
      </w:rPr>
    </w:lvl>
    <w:lvl w:ilvl="7" w:tplc="04080003" w:tentative="1">
      <w:start w:val="1"/>
      <w:numFmt w:val="bullet"/>
      <w:lvlText w:val="o"/>
      <w:lvlJc w:val="left"/>
      <w:pPr>
        <w:tabs>
          <w:tab w:val="num" w:pos="6186"/>
        </w:tabs>
        <w:ind w:left="6186" w:hanging="360"/>
      </w:pPr>
      <w:rPr>
        <w:rFonts w:ascii="Courier New" w:hAnsi="Courier New" w:cs="Courier New" w:hint="default"/>
      </w:rPr>
    </w:lvl>
    <w:lvl w:ilvl="8" w:tplc="04080005" w:tentative="1">
      <w:start w:val="1"/>
      <w:numFmt w:val="bullet"/>
      <w:lvlText w:val=""/>
      <w:lvlJc w:val="left"/>
      <w:pPr>
        <w:tabs>
          <w:tab w:val="num" w:pos="6906"/>
        </w:tabs>
        <w:ind w:left="6906" w:hanging="360"/>
      </w:pPr>
      <w:rPr>
        <w:rFonts w:ascii="Wingdings" w:hAnsi="Wingdings" w:hint="default"/>
      </w:rPr>
    </w:lvl>
  </w:abstractNum>
  <w:num w:numId="1" w16cid:durableId="1510952196">
    <w:abstractNumId w:val="0"/>
  </w:num>
  <w:num w:numId="2" w16cid:durableId="1157844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100"/>
    <w:rsid w:val="00032099"/>
    <w:rsid w:val="00074100"/>
    <w:rsid w:val="000873FC"/>
    <w:rsid w:val="000E66D5"/>
    <w:rsid w:val="001000DE"/>
    <w:rsid w:val="001034CF"/>
    <w:rsid w:val="00114F5C"/>
    <w:rsid w:val="00122158"/>
    <w:rsid w:val="00126729"/>
    <w:rsid w:val="00172C49"/>
    <w:rsid w:val="0018596F"/>
    <w:rsid w:val="00185E99"/>
    <w:rsid w:val="00190665"/>
    <w:rsid w:val="00197E3A"/>
    <w:rsid w:val="001A619D"/>
    <w:rsid w:val="001C52A8"/>
    <w:rsid w:val="001E21A2"/>
    <w:rsid w:val="00200897"/>
    <w:rsid w:val="002444A2"/>
    <w:rsid w:val="00255AE0"/>
    <w:rsid w:val="002726AB"/>
    <w:rsid w:val="0028539F"/>
    <w:rsid w:val="002959B6"/>
    <w:rsid w:val="002A0811"/>
    <w:rsid w:val="002B53E1"/>
    <w:rsid w:val="002B6E2F"/>
    <w:rsid w:val="002E42E7"/>
    <w:rsid w:val="002E7B57"/>
    <w:rsid w:val="002F4139"/>
    <w:rsid w:val="0030191B"/>
    <w:rsid w:val="00314E46"/>
    <w:rsid w:val="00347325"/>
    <w:rsid w:val="00353E06"/>
    <w:rsid w:val="0035423E"/>
    <w:rsid w:val="003542DE"/>
    <w:rsid w:val="00357700"/>
    <w:rsid w:val="00363F42"/>
    <w:rsid w:val="003A3F70"/>
    <w:rsid w:val="003D441C"/>
    <w:rsid w:val="003F1E95"/>
    <w:rsid w:val="004005D5"/>
    <w:rsid w:val="0043021C"/>
    <w:rsid w:val="004539D0"/>
    <w:rsid w:val="00484D41"/>
    <w:rsid w:val="00493793"/>
    <w:rsid w:val="004965AC"/>
    <w:rsid w:val="004A635E"/>
    <w:rsid w:val="004A64BC"/>
    <w:rsid w:val="004B6CF1"/>
    <w:rsid w:val="004B6DB3"/>
    <w:rsid w:val="004B7F2D"/>
    <w:rsid w:val="004C4C3F"/>
    <w:rsid w:val="004C63A7"/>
    <w:rsid w:val="004E1E35"/>
    <w:rsid w:val="004E2E00"/>
    <w:rsid w:val="00513DD3"/>
    <w:rsid w:val="00530A49"/>
    <w:rsid w:val="005446B1"/>
    <w:rsid w:val="0057261D"/>
    <w:rsid w:val="005C5221"/>
    <w:rsid w:val="005D6DD8"/>
    <w:rsid w:val="005E0945"/>
    <w:rsid w:val="00614B98"/>
    <w:rsid w:val="00663ADC"/>
    <w:rsid w:val="006714FC"/>
    <w:rsid w:val="0068075E"/>
    <w:rsid w:val="00692AB0"/>
    <w:rsid w:val="006949C8"/>
    <w:rsid w:val="006A0FED"/>
    <w:rsid w:val="006E199A"/>
    <w:rsid w:val="007022EB"/>
    <w:rsid w:val="0070332C"/>
    <w:rsid w:val="007219C6"/>
    <w:rsid w:val="007307C3"/>
    <w:rsid w:val="00752B5A"/>
    <w:rsid w:val="00755B3B"/>
    <w:rsid w:val="00763B51"/>
    <w:rsid w:val="007652B0"/>
    <w:rsid w:val="007818CC"/>
    <w:rsid w:val="007831D8"/>
    <w:rsid w:val="007A6F69"/>
    <w:rsid w:val="007B779C"/>
    <w:rsid w:val="007C2F78"/>
    <w:rsid w:val="007D1678"/>
    <w:rsid w:val="00802BA4"/>
    <w:rsid w:val="00804378"/>
    <w:rsid w:val="0084035E"/>
    <w:rsid w:val="00856471"/>
    <w:rsid w:val="0085789E"/>
    <w:rsid w:val="008617CD"/>
    <w:rsid w:val="00871F4D"/>
    <w:rsid w:val="008A08BB"/>
    <w:rsid w:val="008A4B7E"/>
    <w:rsid w:val="008C1CF9"/>
    <w:rsid w:val="0093154A"/>
    <w:rsid w:val="009538EF"/>
    <w:rsid w:val="009B38AD"/>
    <w:rsid w:val="009B7B4A"/>
    <w:rsid w:val="009D5FCB"/>
    <w:rsid w:val="009F6DE6"/>
    <w:rsid w:val="00A17B4A"/>
    <w:rsid w:val="00A2021F"/>
    <w:rsid w:val="00A44C4F"/>
    <w:rsid w:val="00A459C4"/>
    <w:rsid w:val="00A517B2"/>
    <w:rsid w:val="00A65FA9"/>
    <w:rsid w:val="00A832D7"/>
    <w:rsid w:val="00AB344A"/>
    <w:rsid w:val="00AB72BE"/>
    <w:rsid w:val="00AB7312"/>
    <w:rsid w:val="00AF2473"/>
    <w:rsid w:val="00B02BC3"/>
    <w:rsid w:val="00B03F13"/>
    <w:rsid w:val="00B075A2"/>
    <w:rsid w:val="00B45140"/>
    <w:rsid w:val="00B63D2A"/>
    <w:rsid w:val="00B83543"/>
    <w:rsid w:val="00B97509"/>
    <w:rsid w:val="00BD0214"/>
    <w:rsid w:val="00BE15FD"/>
    <w:rsid w:val="00BF02DF"/>
    <w:rsid w:val="00BF3BDC"/>
    <w:rsid w:val="00C23F8D"/>
    <w:rsid w:val="00C25610"/>
    <w:rsid w:val="00C333AB"/>
    <w:rsid w:val="00C34956"/>
    <w:rsid w:val="00C34C0C"/>
    <w:rsid w:val="00C442E3"/>
    <w:rsid w:val="00C445CE"/>
    <w:rsid w:val="00C66B67"/>
    <w:rsid w:val="00C7508E"/>
    <w:rsid w:val="00C8648D"/>
    <w:rsid w:val="00CA5825"/>
    <w:rsid w:val="00CB0671"/>
    <w:rsid w:val="00CB374F"/>
    <w:rsid w:val="00CC4FCD"/>
    <w:rsid w:val="00CD4526"/>
    <w:rsid w:val="00D03A8C"/>
    <w:rsid w:val="00D17713"/>
    <w:rsid w:val="00D77A9C"/>
    <w:rsid w:val="00DB22A7"/>
    <w:rsid w:val="00DC1B4A"/>
    <w:rsid w:val="00DD1ECF"/>
    <w:rsid w:val="00DD6A26"/>
    <w:rsid w:val="00E22ABD"/>
    <w:rsid w:val="00E56513"/>
    <w:rsid w:val="00E6252B"/>
    <w:rsid w:val="00E84D50"/>
    <w:rsid w:val="00E9083D"/>
    <w:rsid w:val="00E95191"/>
    <w:rsid w:val="00EA6846"/>
    <w:rsid w:val="00EB6985"/>
    <w:rsid w:val="00EE3394"/>
    <w:rsid w:val="00EE3CAE"/>
    <w:rsid w:val="00EF3EDF"/>
    <w:rsid w:val="00F122E5"/>
    <w:rsid w:val="00F43BDE"/>
    <w:rsid w:val="00F51272"/>
    <w:rsid w:val="00F728EE"/>
    <w:rsid w:val="00F76EB5"/>
    <w:rsid w:val="00F969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02337"/>
  <w15:chartTrackingRefBased/>
  <w15:docId w15:val="{53B41C2F-BDAC-4CAC-9DF2-FD0349C2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zh-TW"/>
    </w:rPr>
  </w:style>
  <w:style w:type="paragraph" w:styleId="1">
    <w:name w:val="heading 1"/>
    <w:basedOn w:val="a"/>
    <w:next w:val="a"/>
    <w:link w:val="1Char"/>
    <w:uiPriority w:val="99"/>
    <w:qFormat/>
    <w:rsid w:val="002959B6"/>
    <w:pPr>
      <w:keepNext/>
      <w:spacing w:before="240" w:after="60"/>
      <w:outlineLvl w:val="0"/>
    </w:pPr>
    <w:rPr>
      <w:rFonts w:ascii="Arial" w:eastAsia="Times New Roman" w:hAnsi="Arial" w:cs="Arial"/>
      <w:b/>
      <w:bCs/>
      <w:kern w:val="32"/>
      <w:sz w:val="32"/>
      <w:szCs w:val="32"/>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444A2"/>
    <w:pPr>
      <w:jc w:val="both"/>
    </w:pPr>
    <w:rPr>
      <w:rFonts w:ascii="Arial" w:eastAsia="Times New Roman" w:hAnsi="Arial"/>
      <w:sz w:val="20"/>
      <w:szCs w:val="20"/>
    </w:rPr>
  </w:style>
  <w:style w:type="paragraph" w:styleId="2">
    <w:name w:val="Body Text Indent 2"/>
    <w:basedOn w:val="a"/>
    <w:rsid w:val="00255AE0"/>
    <w:pPr>
      <w:spacing w:after="120" w:line="480" w:lineRule="auto"/>
      <w:ind w:left="283"/>
    </w:pPr>
  </w:style>
  <w:style w:type="paragraph" w:styleId="Web">
    <w:name w:val="Normal (Web)"/>
    <w:basedOn w:val="a"/>
    <w:uiPriority w:val="99"/>
    <w:rsid w:val="0018596F"/>
    <w:pPr>
      <w:spacing w:before="100" w:beforeAutospacing="1" w:after="100" w:afterAutospacing="1"/>
    </w:pPr>
    <w:rPr>
      <w:rFonts w:eastAsia="Times New Roman"/>
      <w:lang w:eastAsia="el-GR"/>
    </w:rPr>
  </w:style>
  <w:style w:type="character" w:customStyle="1" w:styleId="1Char">
    <w:name w:val="Επικεφαλίδα 1 Char"/>
    <w:basedOn w:val="a0"/>
    <w:link w:val="1"/>
    <w:uiPriority w:val="99"/>
    <w:rsid w:val="002959B6"/>
    <w:rPr>
      <w:rFonts w:ascii="Arial" w:eastAsia="Times New Roman" w:hAnsi="Arial" w:cs="Arial"/>
      <w:b/>
      <w:bCs/>
      <w:kern w:val="32"/>
      <w:sz w:val="32"/>
      <w:szCs w:val="32"/>
    </w:rPr>
  </w:style>
  <w:style w:type="table" w:styleId="a4">
    <w:name w:val="Table Grid"/>
    <w:basedOn w:val="a1"/>
    <w:uiPriority w:val="39"/>
    <w:rsid w:val="00721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B63D2A"/>
    <w:rPr>
      <w:sz w:val="16"/>
      <w:szCs w:val="16"/>
    </w:rPr>
  </w:style>
  <w:style w:type="paragraph" w:styleId="a6">
    <w:name w:val="annotation text"/>
    <w:basedOn w:val="a"/>
    <w:link w:val="Char"/>
    <w:uiPriority w:val="99"/>
    <w:semiHidden/>
    <w:unhideWhenUsed/>
    <w:rsid w:val="00B63D2A"/>
    <w:rPr>
      <w:sz w:val="20"/>
      <w:szCs w:val="20"/>
    </w:rPr>
  </w:style>
  <w:style w:type="character" w:customStyle="1" w:styleId="Char">
    <w:name w:val="Κείμενο σχολίου Char"/>
    <w:basedOn w:val="a0"/>
    <w:link w:val="a6"/>
    <w:uiPriority w:val="99"/>
    <w:semiHidden/>
    <w:rsid w:val="00B63D2A"/>
    <w:rPr>
      <w:lang w:eastAsia="zh-TW"/>
    </w:rPr>
  </w:style>
  <w:style w:type="paragraph" w:styleId="a7">
    <w:name w:val="annotation subject"/>
    <w:basedOn w:val="a6"/>
    <w:next w:val="a6"/>
    <w:link w:val="Char0"/>
    <w:uiPriority w:val="99"/>
    <w:semiHidden/>
    <w:unhideWhenUsed/>
    <w:rsid w:val="00B63D2A"/>
    <w:rPr>
      <w:b/>
      <w:bCs/>
    </w:rPr>
  </w:style>
  <w:style w:type="character" w:customStyle="1" w:styleId="Char0">
    <w:name w:val="Θέμα σχολίου Char"/>
    <w:basedOn w:val="Char"/>
    <w:link w:val="a7"/>
    <w:uiPriority w:val="99"/>
    <w:semiHidden/>
    <w:rsid w:val="00B63D2A"/>
    <w:rPr>
      <w:b/>
      <w:bCs/>
      <w:lang w:eastAsia="zh-TW"/>
    </w:rPr>
  </w:style>
  <w:style w:type="paragraph" w:styleId="a8">
    <w:name w:val="Balloon Text"/>
    <w:basedOn w:val="a"/>
    <w:link w:val="Char1"/>
    <w:uiPriority w:val="99"/>
    <w:semiHidden/>
    <w:unhideWhenUsed/>
    <w:rsid w:val="00B63D2A"/>
    <w:rPr>
      <w:rFonts w:ascii="Segoe UI" w:hAnsi="Segoe UI" w:cs="Segoe UI"/>
      <w:sz w:val="18"/>
      <w:szCs w:val="18"/>
    </w:rPr>
  </w:style>
  <w:style w:type="character" w:customStyle="1" w:styleId="Char1">
    <w:name w:val="Κείμενο πλαισίου Char"/>
    <w:basedOn w:val="a0"/>
    <w:link w:val="a8"/>
    <w:uiPriority w:val="99"/>
    <w:semiHidden/>
    <w:rsid w:val="00B63D2A"/>
    <w:rPr>
      <w:rFonts w:ascii="Segoe UI" w:hAnsi="Segoe UI" w:cs="Segoe U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683006">
      <w:bodyDiv w:val="1"/>
      <w:marLeft w:val="0"/>
      <w:marRight w:val="0"/>
      <w:marTop w:val="0"/>
      <w:marBottom w:val="0"/>
      <w:divBdr>
        <w:top w:val="none" w:sz="0" w:space="0" w:color="auto"/>
        <w:left w:val="none" w:sz="0" w:space="0" w:color="auto"/>
        <w:bottom w:val="none" w:sz="0" w:space="0" w:color="auto"/>
        <w:right w:val="none" w:sz="0" w:space="0" w:color="auto"/>
      </w:divBdr>
      <w:divsChild>
        <w:div w:id="126317596">
          <w:marLeft w:val="0"/>
          <w:marRight w:val="0"/>
          <w:marTop w:val="0"/>
          <w:marBottom w:val="0"/>
          <w:divBdr>
            <w:top w:val="none" w:sz="0" w:space="0" w:color="auto"/>
            <w:left w:val="none" w:sz="0" w:space="0" w:color="auto"/>
            <w:bottom w:val="none" w:sz="0" w:space="0" w:color="auto"/>
            <w:right w:val="none" w:sz="0" w:space="0" w:color="auto"/>
          </w:divBdr>
        </w:div>
        <w:div w:id="197476705">
          <w:marLeft w:val="0"/>
          <w:marRight w:val="0"/>
          <w:marTop w:val="0"/>
          <w:marBottom w:val="0"/>
          <w:divBdr>
            <w:top w:val="none" w:sz="0" w:space="0" w:color="auto"/>
            <w:left w:val="none" w:sz="0" w:space="0" w:color="auto"/>
            <w:bottom w:val="none" w:sz="0" w:space="0" w:color="auto"/>
            <w:right w:val="none" w:sz="0" w:space="0" w:color="auto"/>
          </w:divBdr>
        </w:div>
        <w:div w:id="1142036962">
          <w:marLeft w:val="0"/>
          <w:marRight w:val="0"/>
          <w:marTop w:val="0"/>
          <w:marBottom w:val="0"/>
          <w:divBdr>
            <w:top w:val="none" w:sz="0" w:space="0" w:color="auto"/>
            <w:left w:val="none" w:sz="0" w:space="0" w:color="auto"/>
            <w:bottom w:val="none" w:sz="0" w:space="0" w:color="auto"/>
            <w:right w:val="none" w:sz="0" w:space="0" w:color="auto"/>
          </w:divBdr>
        </w:div>
        <w:div w:id="1698580205">
          <w:marLeft w:val="0"/>
          <w:marRight w:val="0"/>
          <w:marTop w:val="0"/>
          <w:marBottom w:val="0"/>
          <w:divBdr>
            <w:top w:val="none" w:sz="0" w:space="0" w:color="auto"/>
            <w:left w:val="none" w:sz="0" w:space="0" w:color="auto"/>
            <w:bottom w:val="none" w:sz="0" w:space="0" w:color="auto"/>
            <w:right w:val="none" w:sz="0" w:space="0" w:color="auto"/>
          </w:divBdr>
        </w:div>
        <w:div w:id="1957172445">
          <w:marLeft w:val="0"/>
          <w:marRight w:val="0"/>
          <w:marTop w:val="0"/>
          <w:marBottom w:val="0"/>
          <w:divBdr>
            <w:top w:val="none" w:sz="0" w:space="0" w:color="auto"/>
            <w:left w:val="none" w:sz="0" w:space="0" w:color="auto"/>
            <w:bottom w:val="none" w:sz="0" w:space="0" w:color="auto"/>
            <w:right w:val="none" w:sz="0" w:space="0" w:color="auto"/>
          </w:divBdr>
        </w:div>
        <w:div w:id="2104764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1425</Words>
  <Characters>7698</Characters>
  <Application>Microsoft Office Word</Application>
  <DocSecurity>0</DocSecurity>
  <Lines>64</Lines>
  <Paragraphs>18</Paragraphs>
  <ScaleCrop>false</ScaleCrop>
  <HeadingPairs>
    <vt:vector size="6" baseType="variant">
      <vt:variant>
        <vt:lpstr>Τίτλος</vt:lpstr>
      </vt:variant>
      <vt:variant>
        <vt:i4>1</vt:i4>
      </vt:variant>
      <vt:variant>
        <vt:lpstr>Titolo</vt:lpstr>
      </vt:variant>
      <vt:variant>
        <vt:i4>1</vt:i4>
      </vt:variant>
      <vt:variant>
        <vt:lpstr>Title</vt:lpstr>
      </vt:variant>
      <vt:variant>
        <vt:i4>1</vt:i4>
      </vt:variant>
    </vt:vector>
  </HeadingPairs>
  <TitlesOfParts>
    <vt:vector size="3" baseType="lpstr">
      <vt:lpstr>Box text</vt:lpstr>
      <vt:lpstr>Box text</vt:lpstr>
      <vt:lpstr>Box text</vt:lpstr>
    </vt:vector>
  </TitlesOfParts>
  <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Box text</dc:title>
  <dc:subject/>
  <dc:creator>George</dc:creator>
  <cp:keywords/>
  <dc:description/>
  <cp:lastModifiedBy>george Grigorakis</cp:lastModifiedBy>
  <cp:revision>6</cp:revision>
  <dcterms:created xsi:type="dcterms:W3CDTF">2020-09-15T11:37:00Z</dcterms:created>
  <dcterms:modified xsi:type="dcterms:W3CDTF">2023-03-26T16:58:00Z</dcterms:modified>
</cp:coreProperties>
</file>